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213" w:rsidRPr="008D496F" w:rsidRDefault="003E059D" w:rsidP="007A688F">
      <w:pPr>
        <w:jc w:val="center"/>
        <w:rPr>
          <w:rFonts w:ascii="Arial" w:hAnsi="Arial" w:cs="Arial"/>
          <w:b/>
          <w:sz w:val="48"/>
        </w:rPr>
      </w:pPr>
      <w:r w:rsidRPr="008D496F">
        <w:rPr>
          <w:rFonts w:ascii="Arial" w:hAnsi="Arial" w:cs="Arial"/>
          <w:b/>
          <w:sz w:val="48"/>
        </w:rPr>
        <w:t>MÉMOIRE DU CRAIM</w:t>
      </w:r>
    </w:p>
    <w:p w:rsidR="003E059D" w:rsidRPr="008D496F" w:rsidRDefault="008D496F" w:rsidP="007A688F">
      <w:pPr>
        <w:jc w:val="center"/>
        <w:rPr>
          <w:rFonts w:ascii="Arial" w:hAnsi="Arial" w:cs="Arial"/>
          <w:b/>
          <w:i/>
          <w:sz w:val="48"/>
        </w:rPr>
      </w:pPr>
      <w:r w:rsidRPr="008D496F">
        <w:rPr>
          <w:rFonts w:ascii="Arial" w:hAnsi="Arial" w:cs="Arial"/>
          <w:b/>
          <w:i/>
          <w:sz w:val="48"/>
        </w:rPr>
        <w:t>SUR LES MODIFICATIONS ÉVENTUELLES AU RÈGLEMENT SUR LES URGENCES ENVIRONNEMENTALES</w:t>
      </w:r>
    </w:p>
    <w:p w:rsidR="00B468FD" w:rsidRPr="00B468FD" w:rsidRDefault="00B468FD" w:rsidP="007A688F">
      <w:pPr>
        <w:jc w:val="center"/>
        <w:rPr>
          <w:rFonts w:ascii="Arial" w:hAnsi="Arial" w:cs="Arial"/>
          <w:b/>
          <w:sz w:val="48"/>
        </w:rPr>
      </w:pPr>
    </w:p>
    <w:p w:rsidR="008D496F" w:rsidRDefault="008D496F" w:rsidP="007A688F">
      <w:pPr>
        <w:jc w:val="center"/>
        <w:rPr>
          <w:rFonts w:ascii="Arial" w:hAnsi="Arial" w:cs="Arial"/>
          <w:sz w:val="24"/>
        </w:rPr>
      </w:pPr>
      <w:r>
        <w:rPr>
          <w:rFonts w:ascii="Arial" w:hAnsi="Arial" w:cs="Arial"/>
          <w:sz w:val="24"/>
        </w:rPr>
        <w:t>Par</w:t>
      </w:r>
    </w:p>
    <w:p w:rsidR="00B8648B" w:rsidRDefault="008D496F" w:rsidP="007A688F">
      <w:pPr>
        <w:jc w:val="center"/>
        <w:rPr>
          <w:rFonts w:ascii="Arial" w:hAnsi="Arial" w:cs="Arial"/>
          <w:sz w:val="24"/>
        </w:rPr>
      </w:pPr>
      <w:r>
        <w:rPr>
          <w:rFonts w:ascii="Arial" w:hAnsi="Arial" w:cs="Arial"/>
          <w:sz w:val="24"/>
        </w:rPr>
        <w:t>M. R</w:t>
      </w:r>
      <w:r w:rsidR="00B8648B">
        <w:rPr>
          <w:rFonts w:ascii="Arial" w:hAnsi="Arial" w:cs="Arial"/>
          <w:sz w:val="24"/>
        </w:rPr>
        <w:t>obert Reiss, directeur Comité technique du CRAIM</w:t>
      </w:r>
    </w:p>
    <w:p w:rsidR="00B8648B" w:rsidRDefault="008D496F" w:rsidP="007A688F">
      <w:pPr>
        <w:jc w:val="center"/>
        <w:rPr>
          <w:rFonts w:ascii="Arial" w:hAnsi="Arial" w:cs="Arial"/>
          <w:sz w:val="24"/>
        </w:rPr>
      </w:pPr>
      <w:proofErr w:type="gramStart"/>
      <w:r>
        <w:rPr>
          <w:rFonts w:ascii="Arial" w:hAnsi="Arial" w:cs="Arial"/>
          <w:sz w:val="24"/>
        </w:rPr>
        <w:t>e</w:t>
      </w:r>
      <w:r w:rsidR="00B8648B">
        <w:rPr>
          <w:rFonts w:ascii="Arial" w:hAnsi="Arial" w:cs="Arial"/>
          <w:sz w:val="24"/>
        </w:rPr>
        <w:t>t</w:t>
      </w:r>
      <w:proofErr w:type="gramEnd"/>
    </w:p>
    <w:p w:rsidR="00B8648B" w:rsidRDefault="008D496F" w:rsidP="007A688F">
      <w:pPr>
        <w:jc w:val="center"/>
        <w:rPr>
          <w:rFonts w:ascii="Arial" w:hAnsi="Arial" w:cs="Arial"/>
          <w:sz w:val="24"/>
        </w:rPr>
      </w:pPr>
      <w:r>
        <w:rPr>
          <w:rFonts w:ascii="Arial" w:hAnsi="Arial" w:cs="Arial"/>
          <w:sz w:val="24"/>
        </w:rPr>
        <w:t xml:space="preserve">M. </w:t>
      </w:r>
      <w:r w:rsidR="00B8648B">
        <w:rPr>
          <w:rFonts w:ascii="Arial" w:hAnsi="Arial" w:cs="Arial"/>
          <w:sz w:val="24"/>
        </w:rPr>
        <w:t>Dimitri Tsingakis, président du CRAIM.</w:t>
      </w:r>
    </w:p>
    <w:p w:rsidR="003E059D" w:rsidRDefault="003E059D" w:rsidP="007A688F">
      <w:pPr>
        <w:jc w:val="center"/>
        <w:rPr>
          <w:rFonts w:ascii="Arial" w:hAnsi="Arial" w:cs="Arial"/>
          <w:sz w:val="24"/>
        </w:rPr>
      </w:pPr>
    </w:p>
    <w:p w:rsidR="00BE7FBD" w:rsidRDefault="00BE7FBD" w:rsidP="007A688F">
      <w:pPr>
        <w:jc w:val="both"/>
        <w:rPr>
          <w:rFonts w:ascii="Arial" w:hAnsi="Arial" w:cs="Arial"/>
          <w:sz w:val="24"/>
        </w:rPr>
        <w:sectPr w:rsidR="00BE7FBD" w:rsidSect="00BE7FBD">
          <w:headerReference w:type="even" r:id="rId9"/>
          <w:headerReference w:type="default" r:id="rId10"/>
          <w:footerReference w:type="even" r:id="rId11"/>
          <w:footerReference w:type="default" r:id="rId12"/>
          <w:headerReference w:type="first" r:id="rId13"/>
          <w:footerReference w:type="first" r:id="rId14"/>
          <w:pgSz w:w="12240" w:h="15840"/>
          <w:pgMar w:top="1916" w:right="1797" w:bottom="1440" w:left="1797" w:header="709" w:footer="709" w:gutter="0"/>
          <w:cols w:space="708"/>
          <w:vAlign w:val="center"/>
          <w:docGrid w:linePitch="360"/>
        </w:sectPr>
      </w:pPr>
    </w:p>
    <w:p w:rsidR="00A757B0" w:rsidRDefault="00A757B0">
      <w:pPr>
        <w:spacing w:after="0" w:line="240" w:lineRule="auto"/>
        <w:rPr>
          <w:rFonts w:ascii="Arial Narrow" w:hAnsi="Arial Narrow"/>
          <w:sz w:val="16"/>
          <w:szCs w:val="16"/>
        </w:rPr>
      </w:pPr>
      <w:r>
        <w:rPr>
          <w:rFonts w:ascii="Arial Narrow" w:hAnsi="Arial Narrow"/>
          <w:sz w:val="16"/>
          <w:szCs w:val="16"/>
        </w:rPr>
        <w:lastRenderedPageBreak/>
        <w:br w:type="page"/>
      </w:r>
    </w:p>
    <w:p w:rsidR="008F4B8D" w:rsidRDefault="008F4B8D" w:rsidP="008F4B8D">
      <w:pPr>
        <w:spacing w:line="240" w:lineRule="auto"/>
        <w:rPr>
          <w:rFonts w:ascii="Arial Narrow" w:hAnsi="Arial Narrow"/>
          <w:sz w:val="16"/>
          <w:szCs w:val="16"/>
        </w:rPr>
      </w:pPr>
    </w:p>
    <w:p w:rsidR="00603858" w:rsidRPr="002A31F6" w:rsidRDefault="00603858" w:rsidP="007A688F">
      <w:pPr>
        <w:jc w:val="both"/>
        <w:rPr>
          <w:rFonts w:ascii="Arial" w:hAnsi="Arial" w:cs="Arial"/>
          <w:b/>
          <w:sz w:val="24"/>
        </w:rPr>
      </w:pPr>
      <w:r w:rsidRPr="002A31F6">
        <w:rPr>
          <w:rFonts w:ascii="Arial" w:hAnsi="Arial" w:cs="Arial"/>
          <w:b/>
          <w:sz w:val="24"/>
        </w:rPr>
        <w:t>À propos du CRAIM</w:t>
      </w:r>
    </w:p>
    <w:p w:rsidR="008D496F" w:rsidRDefault="002A256C" w:rsidP="007A688F">
      <w:pPr>
        <w:jc w:val="both"/>
        <w:rPr>
          <w:rFonts w:ascii="Arial" w:hAnsi="Arial" w:cs="Arial"/>
          <w:bCs/>
          <w:sz w:val="24"/>
        </w:rPr>
      </w:pPr>
      <w:r w:rsidRPr="002A256C">
        <w:rPr>
          <w:rFonts w:ascii="Arial" w:hAnsi="Arial" w:cs="Arial"/>
          <w:sz w:val="24"/>
        </w:rPr>
        <w:t xml:space="preserve">Le Conseil pour la </w:t>
      </w:r>
      <w:r w:rsidR="00CE60F0">
        <w:rPr>
          <w:rFonts w:ascii="Arial" w:hAnsi="Arial" w:cs="Arial"/>
          <w:sz w:val="24"/>
        </w:rPr>
        <w:t>r</w:t>
      </w:r>
      <w:r w:rsidR="00CE60F0" w:rsidRPr="002A256C">
        <w:rPr>
          <w:rFonts w:ascii="Arial" w:hAnsi="Arial" w:cs="Arial"/>
          <w:sz w:val="24"/>
        </w:rPr>
        <w:t xml:space="preserve">éduction </w:t>
      </w:r>
      <w:r w:rsidRPr="002A256C">
        <w:rPr>
          <w:rFonts w:ascii="Arial" w:hAnsi="Arial" w:cs="Arial"/>
          <w:sz w:val="24"/>
        </w:rPr>
        <w:t xml:space="preserve">des accidents industriels majeurs (CRAIM) est un organisme à but non lucratif fondé en 1996. </w:t>
      </w:r>
      <w:r w:rsidR="008D496F">
        <w:rPr>
          <w:rFonts w:ascii="Arial" w:hAnsi="Arial" w:cs="Arial"/>
          <w:sz w:val="24"/>
        </w:rPr>
        <w:t>Il</w:t>
      </w:r>
      <w:r w:rsidRPr="002A256C">
        <w:rPr>
          <w:rFonts w:ascii="Arial" w:hAnsi="Arial" w:cs="Arial"/>
          <w:sz w:val="24"/>
        </w:rPr>
        <w:t xml:space="preserve"> regroupe une centaine de membres parmi l’industrie, les firmes de consultants, les municipalités, des ministères et des citoyens.</w:t>
      </w:r>
      <w:r w:rsidR="008D496F">
        <w:rPr>
          <w:rFonts w:ascii="Arial" w:hAnsi="Arial" w:cs="Arial"/>
          <w:sz w:val="24"/>
        </w:rPr>
        <w:t xml:space="preserve">  </w:t>
      </w:r>
      <w:r w:rsidRPr="002A256C">
        <w:rPr>
          <w:rFonts w:ascii="Arial" w:hAnsi="Arial" w:cs="Arial"/>
          <w:bCs/>
          <w:sz w:val="24"/>
        </w:rPr>
        <w:t>Le CRAIM vise à être la référence en matière de  gestion rigoureuse, responsable et concertée des risques liés aux matières dangereuses dans le contexte du développement durable.</w:t>
      </w:r>
      <w:r w:rsidR="008D496F">
        <w:rPr>
          <w:rFonts w:ascii="Arial" w:hAnsi="Arial" w:cs="Arial"/>
          <w:bCs/>
          <w:sz w:val="24"/>
        </w:rPr>
        <w:t xml:space="preserve">  Il a comme mission de :</w:t>
      </w:r>
    </w:p>
    <w:p w:rsidR="000B6A19" w:rsidRPr="008D496F" w:rsidRDefault="008D496F" w:rsidP="00D64386">
      <w:pPr>
        <w:pStyle w:val="ListParagraph"/>
        <w:numPr>
          <w:ilvl w:val="0"/>
          <w:numId w:val="4"/>
        </w:numPr>
      </w:pPr>
      <w:r w:rsidRPr="008D496F">
        <w:t>D</w:t>
      </w:r>
      <w:r w:rsidR="006A0E2D" w:rsidRPr="008D496F">
        <w:t>évelopper des processus et des outils rigoureux qui permettent une gestion responsable des risques liés aux matières dangereuses.</w:t>
      </w:r>
    </w:p>
    <w:p w:rsidR="000B6A19" w:rsidRPr="008D496F" w:rsidRDefault="006A0E2D" w:rsidP="00D64386">
      <w:pPr>
        <w:pStyle w:val="ListParagraph"/>
        <w:numPr>
          <w:ilvl w:val="0"/>
          <w:numId w:val="4"/>
        </w:numPr>
      </w:pPr>
      <w:r w:rsidRPr="008D496F">
        <w:t xml:space="preserve">Favoriser avec les parties prenantes, la réduction des risques d’accidents industriels majeurs par la mise en place de mesures de prévention, de préparation, d’intervention et de rétablissement. </w:t>
      </w:r>
    </w:p>
    <w:p w:rsidR="002A256C" w:rsidRPr="008D496F" w:rsidRDefault="002A256C" w:rsidP="00D64386">
      <w:pPr>
        <w:pStyle w:val="ListParagraph"/>
        <w:numPr>
          <w:ilvl w:val="0"/>
          <w:numId w:val="4"/>
        </w:numPr>
      </w:pPr>
      <w:r w:rsidRPr="008D496F">
        <w:t xml:space="preserve">Promouvoir des initiatives locales pour une meilleure gestion </w:t>
      </w:r>
      <w:r w:rsidR="00953D4D">
        <w:t xml:space="preserve">concertée </w:t>
      </w:r>
      <w:r w:rsidRPr="008D496F">
        <w:t>des risques d’accidents industriels majeurs.</w:t>
      </w:r>
    </w:p>
    <w:p w:rsidR="002A256C" w:rsidRPr="002A256C" w:rsidRDefault="00D64386" w:rsidP="007A688F">
      <w:pPr>
        <w:jc w:val="both"/>
        <w:rPr>
          <w:rFonts w:ascii="Arial" w:hAnsi="Arial" w:cs="Arial"/>
          <w:sz w:val="24"/>
        </w:rPr>
      </w:pPr>
      <w:r>
        <w:rPr>
          <w:rFonts w:ascii="Arial" w:hAnsi="Arial" w:cs="Arial"/>
          <w:bCs/>
          <w:sz w:val="24"/>
        </w:rPr>
        <w:t>En ce sens, le CRAIM</w:t>
      </w:r>
      <w:r w:rsidR="002A256C">
        <w:rPr>
          <w:rFonts w:ascii="Arial" w:hAnsi="Arial" w:cs="Arial"/>
          <w:bCs/>
          <w:sz w:val="24"/>
        </w:rPr>
        <w:t xml:space="preserve"> a développé </w:t>
      </w:r>
      <w:r w:rsidR="00796EA5">
        <w:rPr>
          <w:rFonts w:ascii="Arial" w:hAnsi="Arial" w:cs="Arial"/>
          <w:bCs/>
          <w:sz w:val="24"/>
        </w:rPr>
        <w:t>au fil du temps</w:t>
      </w:r>
      <w:r w:rsidR="002A256C">
        <w:rPr>
          <w:rFonts w:ascii="Arial" w:hAnsi="Arial" w:cs="Arial"/>
          <w:bCs/>
          <w:sz w:val="24"/>
        </w:rPr>
        <w:t xml:space="preserve"> divers outils </w:t>
      </w:r>
      <w:r w:rsidR="00796EA5">
        <w:rPr>
          <w:rFonts w:ascii="Arial" w:hAnsi="Arial" w:cs="Arial"/>
          <w:bCs/>
          <w:sz w:val="24"/>
        </w:rPr>
        <w:t>et en particulier « </w:t>
      </w:r>
      <w:r w:rsidR="00725226">
        <w:rPr>
          <w:rFonts w:ascii="Arial" w:hAnsi="Arial" w:cs="Arial"/>
          <w:bCs/>
          <w:sz w:val="24"/>
        </w:rPr>
        <w:t xml:space="preserve">Le Guide de gestion des risques </w:t>
      </w:r>
      <w:r w:rsidR="00CE60F0">
        <w:rPr>
          <w:rFonts w:ascii="Arial" w:hAnsi="Arial" w:cs="Arial"/>
          <w:bCs/>
          <w:sz w:val="24"/>
        </w:rPr>
        <w:t xml:space="preserve">d’accidents </w:t>
      </w:r>
      <w:r w:rsidR="00725226">
        <w:rPr>
          <w:rFonts w:ascii="Arial" w:hAnsi="Arial" w:cs="Arial"/>
          <w:bCs/>
          <w:sz w:val="24"/>
        </w:rPr>
        <w:t>industriels majeurs</w:t>
      </w:r>
      <w:r w:rsidR="00796EA5">
        <w:rPr>
          <w:rFonts w:ascii="Arial" w:hAnsi="Arial" w:cs="Arial"/>
          <w:bCs/>
          <w:sz w:val="24"/>
        </w:rPr>
        <w:t> »,</w:t>
      </w:r>
      <w:r w:rsidR="00725226">
        <w:rPr>
          <w:rFonts w:ascii="Arial" w:hAnsi="Arial" w:cs="Arial"/>
          <w:bCs/>
          <w:sz w:val="24"/>
        </w:rPr>
        <w:t xml:space="preserve"> dont la version 2002 a servi de base à l’élaboration du Règlement sur les urgences environnementales</w:t>
      </w:r>
      <w:r>
        <w:rPr>
          <w:rFonts w:ascii="Arial" w:hAnsi="Arial" w:cs="Arial"/>
          <w:bCs/>
          <w:sz w:val="24"/>
        </w:rPr>
        <w:t xml:space="preserve"> (</w:t>
      </w:r>
      <w:r w:rsidRPr="00FF6559">
        <w:rPr>
          <w:rFonts w:ascii="Arial" w:hAnsi="Arial" w:cs="Arial"/>
          <w:b/>
          <w:bCs/>
          <w:sz w:val="24"/>
        </w:rPr>
        <w:t>RUE</w:t>
      </w:r>
      <w:r>
        <w:rPr>
          <w:rFonts w:ascii="Arial" w:hAnsi="Arial" w:cs="Arial"/>
          <w:bCs/>
          <w:sz w:val="24"/>
        </w:rPr>
        <w:t>)</w:t>
      </w:r>
      <w:r w:rsidR="00725226">
        <w:rPr>
          <w:rFonts w:ascii="Arial" w:hAnsi="Arial" w:cs="Arial"/>
          <w:bCs/>
          <w:sz w:val="24"/>
        </w:rPr>
        <w:t xml:space="preserve">. </w:t>
      </w:r>
      <w:r w:rsidR="00796EA5">
        <w:rPr>
          <w:rFonts w:ascii="Arial" w:hAnsi="Arial" w:cs="Arial"/>
          <w:bCs/>
          <w:sz w:val="24"/>
        </w:rPr>
        <w:t xml:space="preserve">  </w:t>
      </w:r>
      <w:r w:rsidR="00725226">
        <w:rPr>
          <w:rFonts w:ascii="Arial" w:hAnsi="Arial" w:cs="Arial"/>
          <w:bCs/>
          <w:sz w:val="24"/>
        </w:rPr>
        <w:t>La</w:t>
      </w:r>
      <w:r w:rsidR="00796EA5">
        <w:rPr>
          <w:rFonts w:ascii="Arial" w:hAnsi="Arial" w:cs="Arial"/>
          <w:bCs/>
          <w:sz w:val="24"/>
        </w:rPr>
        <w:t xml:space="preserve"> plus récente </w:t>
      </w:r>
      <w:r w:rsidR="00725226">
        <w:rPr>
          <w:rFonts w:ascii="Arial" w:hAnsi="Arial" w:cs="Arial"/>
          <w:bCs/>
          <w:sz w:val="24"/>
        </w:rPr>
        <w:t xml:space="preserve">version du Guide, celle de 2007, </w:t>
      </w:r>
      <w:r w:rsidR="00796EA5">
        <w:rPr>
          <w:rFonts w:ascii="Arial" w:hAnsi="Arial" w:cs="Arial"/>
          <w:bCs/>
          <w:sz w:val="24"/>
        </w:rPr>
        <w:t>s’est vu</w:t>
      </w:r>
      <w:r w:rsidR="00CE60F0">
        <w:rPr>
          <w:rFonts w:ascii="Arial" w:hAnsi="Arial" w:cs="Arial"/>
          <w:bCs/>
          <w:sz w:val="24"/>
        </w:rPr>
        <w:t>e</w:t>
      </w:r>
      <w:r w:rsidR="00796EA5">
        <w:rPr>
          <w:rFonts w:ascii="Arial" w:hAnsi="Arial" w:cs="Arial"/>
          <w:bCs/>
          <w:sz w:val="24"/>
        </w:rPr>
        <w:t xml:space="preserve"> décern</w:t>
      </w:r>
      <w:r w:rsidR="007A5FD9">
        <w:rPr>
          <w:rFonts w:ascii="Arial" w:hAnsi="Arial" w:cs="Arial"/>
          <w:bCs/>
          <w:sz w:val="24"/>
        </w:rPr>
        <w:t>er</w:t>
      </w:r>
      <w:r w:rsidR="00796EA5">
        <w:rPr>
          <w:rFonts w:ascii="Arial" w:hAnsi="Arial" w:cs="Arial"/>
          <w:bCs/>
          <w:sz w:val="24"/>
        </w:rPr>
        <w:t xml:space="preserve"> </w:t>
      </w:r>
      <w:r w:rsidR="00725226" w:rsidRPr="00D64386">
        <w:rPr>
          <w:rFonts w:ascii="Arial" w:hAnsi="Arial" w:cs="Arial"/>
          <w:bCs/>
          <w:i/>
          <w:sz w:val="24"/>
        </w:rPr>
        <w:t xml:space="preserve">Le </w:t>
      </w:r>
      <w:r>
        <w:rPr>
          <w:rFonts w:ascii="Arial" w:hAnsi="Arial" w:cs="Arial"/>
          <w:bCs/>
          <w:i/>
          <w:sz w:val="24"/>
        </w:rPr>
        <w:t>Mérite Québécois de la Sécurité C</w:t>
      </w:r>
      <w:r w:rsidR="00725226" w:rsidRPr="00D64386">
        <w:rPr>
          <w:rFonts w:ascii="Arial" w:hAnsi="Arial" w:cs="Arial"/>
          <w:bCs/>
          <w:i/>
          <w:sz w:val="24"/>
        </w:rPr>
        <w:t>ivile</w:t>
      </w:r>
      <w:r w:rsidR="00725226">
        <w:rPr>
          <w:rFonts w:ascii="Arial" w:hAnsi="Arial" w:cs="Arial"/>
          <w:bCs/>
          <w:sz w:val="24"/>
        </w:rPr>
        <w:t>. Cette version a servi à l’élaboration des amendements du RUE de 2012 ainsi que des Lignes directrices accompagnant le Règlement.</w:t>
      </w:r>
    </w:p>
    <w:p w:rsidR="004F3362" w:rsidRDefault="004F3362">
      <w:pPr>
        <w:rPr>
          <w:rFonts w:ascii="Arial" w:hAnsi="Arial" w:cs="Arial"/>
          <w:b/>
          <w:sz w:val="24"/>
        </w:rPr>
      </w:pPr>
      <w:r>
        <w:rPr>
          <w:rFonts w:ascii="Arial" w:hAnsi="Arial" w:cs="Arial"/>
          <w:b/>
          <w:sz w:val="24"/>
        </w:rPr>
        <w:t>Le conseil d’administration du CRAIM est composé de :</w:t>
      </w:r>
    </w:p>
    <w:p w:rsidR="004F3362" w:rsidRPr="002A31F6" w:rsidRDefault="004F3362" w:rsidP="00A757B0">
      <w:pPr>
        <w:spacing w:after="120" w:line="240" w:lineRule="auto"/>
        <w:jc w:val="both"/>
        <w:rPr>
          <w:rFonts w:ascii="Arial" w:hAnsi="Arial" w:cs="Arial"/>
          <w:sz w:val="24"/>
        </w:rPr>
      </w:pPr>
      <w:r w:rsidRPr="002A31F6">
        <w:rPr>
          <w:rFonts w:ascii="Arial" w:hAnsi="Arial" w:cs="Arial"/>
          <w:sz w:val="24"/>
        </w:rPr>
        <w:t>Tsingakis</w:t>
      </w:r>
      <w:r>
        <w:rPr>
          <w:rFonts w:ascii="Arial" w:hAnsi="Arial" w:cs="Arial"/>
          <w:sz w:val="24"/>
        </w:rPr>
        <w:t>,</w:t>
      </w:r>
      <w:r w:rsidRPr="002A31F6">
        <w:rPr>
          <w:rFonts w:ascii="Arial" w:hAnsi="Arial" w:cs="Arial"/>
          <w:sz w:val="24"/>
        </w:rPr>
        <w:t xml:space="preserve"> Dimitri, ing. Président</w:t>
      </w:r>
      <w:r>
        <w:rPr>
          <w:rFonts w:ascii="Arial" w:hAnsi="Arial" w:cs="Arial"/>
          <w:sz w:val="24"/>
        </w:rPr>
        <w:t xml:space="preserve"> du CRAIM</w:t>
      </w:r>
      <w:r w:rsidRPr="002A31F6">
        <w:rPr>
          <w:rFonts w:ascii="Arial" w:hAnsi="Arial" w:cs="Arial"/>
          <w:sz w:val="24"/>
        </w:rPr>
        <w:t>;</w:t>
      </w:r>
      <w:r w:rsidR="00E257F6">
        <w:rPr>
          <w:rFonts w:ascii="Arial" w:hAnsi="Arial" w:cs="Arial"/>
          <w:sz w:val="24"/>
        </w:rPr>
        <w:t xml:space="preserve"> </w:t>
      </w:r>
    </w:p>
    <w:p w:rsidR="004F3362" w:rsidRPr="002A31F6" w:rsidRDefault="004F3362" w:rsidP="00A757B0">
      <w:pPr>
        <w:spacing w:after="120" w:line="240" w:lineRule="auto"/>
        <w:jc w:val="both"/>
        <w:rPr>
          <w:rFonts w:ascii="Arial" w:hAnsi="Arial" w:cs="Arial"/>
          <w:sz w:val="24"/>
        </w:rPr>
      </w:pPr>
      <w:r w:rsidRPr="002A31F6">
        <w:rPr>
          <w:rFonts w:ascii="Arial" w:hAnsi="Arial" w:cs="Arial"/>
          <w:sz w:val="24"/>
        </w:rPr>
        <w:t>Carpentier</w:t>
      </w:r>
      <w:r>
        <w:rPr>
          <w:rFonts w:ascii="Arial" w:hAnsi="Arial" w:cs="Arial"/>
          <w:sz w:val="24"/>
        </w:rPr>
        <w:t>,</w:t>
      </w:r>
      <w:r w:rsidRPr="002A31F6">
        <w:rPr>
          <w:rFonts w:ascii="Arial" w:hAnsi="Arial" w:cs="Arial"/>
          <w:sz w:val="24"/>
        </w:rPr>
        <w:t xml:space="preserve"> Jean, ing. Pétromont</w:t>
      </w:r>
      <w:r w:rsidR="00E257F6">
        <w:rPr>
          <w:rFonts w:ascii="Arial" w:hAnsi="Arial" w:cs="Arial"/>
          <w:sz w:val="24"/>
        </w:rPr>
        <w:t xml:space="preserve"> et représentant de l’ACIC</w:t>
      </w:r>
      <w:r w:rsidRPr="002A31F6">
        <w:rPr>
          <w:rFonts w:ascii="Arial" w:hAnsi="Arial" w:cs="Arial"/>
          <w:sz w:val="24"/>
        </w:rPr>
        <w:t>;</w:t>
      </w:r>
    </w:p>
    <w:p w:rsidR="004F3362" w:rsidRDefault="004F3362" w:rsidP="00A757B0">
      <w:pPr>
        <w:spacing w:after="120" w:line="240" w:lineRule="auto"/>
        <w:jc w:val="both"/>
        <w:rPr>
          <w:rFonts w:ascii="Arial" w:hAnsi="Arial" w:cs="Arial"/>
          <w:sz w:val="24"/>
        </w:rPr>
      </w:pPr>
      <w:r>
        <w:rPr>
          <w:rFonts w:ascii="Arial" w:hAnsi="Arial" w:cs="Arial"/>
          <w:sz w:val="24"/>
        </w:rPr>
        <w:t>Drolet, Pierre ing, trésorier du CRAIM et vice-président Systèmes de gestion industrielle, Air-Liquide;</w:t>
      </w:r>
    </w:p>
    <w:p w:rsidR="004F3362" w:rsidRDefault="004F3362" w:rsidP="00A757B0">
      <w:pPr>
        <w:spacing w:after="120" w:line="240" w:lineRule="auto"/>
        <w:jc w:val="both"/>
        <w:rPr>
          <w:rFonts w:ascii="Arial" w:hAnsi="Arial" w:cs="Arial"/>
          <w:sz w:val="24"/>
        </w:rPr>
      </w:pPr>
      <w:r>
        <w:rPr>
          <w:rFonts w:ascii="Arial" w:hAnsi="Arial" w:cs="Arial"/>
          <w:sz w:val="24"/>
        </w:rPr>
        <w:t>Lacroix, Jonathan, Conseiller prévention des risques technologiques, Métro Richelieu Inc.;</w:t>
      </w:r>
    </w:p>
    <w:p w:rsidR="004F3362" w:rsidRDefault="004F3362" w:rsidP="00A757B0">
      <w:pPr>
        <w:spacing w:after="120" w:line="240" w:lineRule="auto"/>
        <w:jc w:val="both"/>
        <w:rPr>
          <w:rFonts w:ascii="Arial" w:hAnsi="Arial" w:cs="Arial"/>
          <w:sz w:val="24"/>
        </w:rPr>
      </w:pPr>
      <w:r>
        <w:rPr>
          <w:rFonts w:ascii="Arial" w:hAnsi="Arial" w:cs="Arial"/>
          <w:sz w:val="24"/>
        </w:rPr>
        <w:t>Vanier, Maurice, citoyen;</w:t>
      </w:r>
    </w:p>
    <w:p w:rsidR="004F3362" w:rsidRDefault="004F3362" w:rsidP="00A757B0">
      <w:pPr>
        <w:spacing w:after="120" w:line="240" w:lineRule="auto"/>
        <w:jc w:val="both"/>
        <w:rPr>
          <w:rFonts w:ascii="Arial" w:hAnsi="Arial" w:cs="Arial"/>
          <w:sz w:val="24"/>
        </w:rPr>
      </w:pPr>
      <w:r>
        <w:rPr>
          <w:rFonts w:ascii="Arial" w:hAnsi="Arial" w:cs="Arial"/>
          <w:sz w:val="24"/>
        </w:rPr>
        <w:t>Asselin, Audrey, Superviseur Sécurité civile et mesures d’urgence, Ville de Laval;</w:t>
      </w:r>
    </w:p>
    <w:p w:rsidR="004F3362" w:rsidRDefault="004F3362" w:rsidP="00A757B0">
      <w:pPr>
        <w:spacing w:after="120" w:line="240" w:lineRule="auto"/>
        <w:jc w:val="both"/>
        <w:rPr>
          <w:rFonts w:ascii="Arial" w:hAnsi="Arial" w:cs="Arial"/>
          <w:sz w:val="24"/>
        </w:rPr>
      </w:pPr>
      <w:r>
        <w:rPr>
          <w:rFonts w:ascii="Arial" w:hAnsi="Arial" w:cs="Arial"/>
          <w:sz w:val="24"/>
        </w:rPr>
        <w:t>Gagnon, Georges, Vice-président du CRAIM, Directeur Service de sécurité incendie, ville de Drummondville;</w:t>
      </w:r>
    </w:p>
    <w:p w:rsidR="004F3362" w:rsidRPr="002A31F6" w:rsidRDefault="004F3362" w:rsidP="00A757B0">
      <w:pPr>
        <w:spacing w:after="120" w:line="240" w:lineRule="auto"/>
        <w:jc w:val="both"/>
        <w:rPr>
          <w:rFonts w:ascii="Arial" w:hAnsi="Arial" w:cs="Arial"/>
          <w:sz w:val="24"/>
        </w:rPr>
      </w:pPr>
      <w:r>
        <w:rPr>
          <w:rFonts w:ascii="Arial" w:hAnsi="Arial" w:cs="Arial"/>
          <w:sz w:val="24"/>
        </w:rPr>
        <w:t>Dubeau, Yves, ing, consultant, Vice-président du CRAIM;</w:t>
      </w:r>
    </w:p>
    <w:p w:rsidR="004F3362" w:rsidRPr="001A6F5C" w:rsidRDefault="004F3362" w:rsidP="00A757B0">
      <w:pPr>
        <w:spacing w:after="120" w:line="240" w:lineRule="auto"/>
        <w:jc w:val="both"/>
        <w:rPr>
          <w:rFonts w:ascii="Arial" w:hAnsi="Arial" w:cs="Arial"/>
          <w:sz w:val="24"/>
        </w:rPr>
      </w:pPr>
      <w:r w:rsidRPr="001A6F5C">
        <w:rPr>
          <w:rFonts w:ascii="Arial" w:hAnsi="Arial" w:cs="Arial"/>
          <w:sz w:val="24"/>
        </w:rPr>
        <w:t>Bécaert</w:t>
      </w:r>
      <w:r>
        <w:rPr>
          <w:rFonts w:ascii="Arial" w:hAnsi="Arial" w:cs="Arial"/>
          <w:sz w:val="24"/>
        </w:rPr>
        <w:t>,</w:t>
      </w:r>
      <w:r w:rsidRPr="001A6F5C">
        <w:rPr>
          <w:rFonts w:ascii="Arial" w:hAnsi="Arial" w:cs="Arial"/>
          <w:sz w:val="24"/>
        </w:rPr>
        <w:t xml:space="preserve"> Emmanuelle, ing. Directrice de projets AECOM;</w:t>
      </w:r>
    </w:p>
    <w:p w:rsidR="004F3362" w:rsidRDefault="004F3362" w:rsidP="00A757B0">
      <w:pPr>
        <w:spacing w:after="120" w:line="240" w:lineRule="auto"/>
        <w:rPr>
          <w:rFonts w:ascii="Arial" w:hAnsi="Arial" w:cs="Arial"/>
          <w:sz w:val="24"/>
        </w:rPr>
      </w:pPr>
      <w:r w:rsidRPr="001A6F5C">
        <w:rPr>
          <w:rFonts w:ascii="Arial" w:hAnsi="Arial" w:cs="Arial"/>
          <w:sz w:val="24"/>
        </w:rPr>
        <w:t>Dalpé</w:t>
      </w:r>
      <w:r>
        <w:rPr>
          <w:rFonts w:ascii="Arial" w:hAnsi="Arial" w:cs="Arial"/>
          <w:sz w:val="24"/>
        </w:rPr>
        <w:t>,</w:t>
      </w:r>
      <w:r w:rsidRPr="001A6F5C">
        <w:rPr>
          <w:rFonts w:ascii="Arial" w:hAnsi="Arial" w:cs="Arial"/>
          <w:sz w:val="24"/>
        </w:rPr>
        <w:t xml:space="preserve"> Pierre, Vice-président Stratégies OmniVigil Solutions Inc</w:t>
      </w:r>
      <w:r>
        <w:rPr>
          <w:rFonts w:ascii="Arial" w:hAnsi="Arial" w:cs="Arial"/>
          <w:sz w:val="24"/>
        </w:rPr>
        <w:t>.;</w:t>
      </w:r>
    </w:p>
    <w:p w:rsidR="004F3362" w:rsidRDefault="004F3362" w:rsidP="00A757B0">
      <w:pPr>
        <w:spacing w:after="120" w:line="240" w:lineRule="auto"/>
        <w:rPr>
          <w:rFonts w:ascii="Arial" w:hAnsi="Arial" w:cs="Arial"/>
          <w:sz w:val="24"/>
        </w:rPr>
      </w:pPr>
      <w:r>
        <w:rPr>
          <w:rFonts w:ascii="Arial" w:hAnsi="Arial" w:cs="Arial"/>
          <w:sz w:val="24"/>
        </w:rPr>
        <w:t xml:space="preserve">Hénault, André-Yvon, </w:t>
      </w:r>
      <w:r w:rsidRPr="001A6F5C">
        <w:rPr>
          <w:rFonts w:ascii="Arial" w:hAnsi="Arial" w:cs="Arial"/>
          <w:sz w:val="24"/>
        </w:rPr>
        <w:t>Président, Groupe Hénault &amp; Associés</w:t>
      </w:r>
      <w:r>
        <w:rPr>
          <w:rFonts w:ascii="Arial" w:hAnsi="Arial" w:cs="Arial"/>
          <w:sz w:val="24"/>
        </w:rPr>
        <w:t>;</w:t>
      </w:r>
    </w:p>
    <w:p w:rsidR="004F3362" w:rsidRPr="008F4B8D" w:rsidRDefault="004F3362" w:rsidP="00A757B0">
      <w:pPr>
        <w:spacing w:after="120" w:line="240" w:lineRule="auto"/>
        <w:rPr>
          <w:rFonts w:ascii="Arial" w:hAnsi="Arial" w:cs="Arial"/>
          <w:sz w:val="24"/>
        </w:rPr>
      </w:pPr>
      <w:r w:rsidRPr="008F4B8D">
        <w:rPr>
          <w:rFonts w:ascii="Arial" w:hAnsi="Arial" w:cs="Arial"/>
          <w:sz w:val="24"/>
        </w:rPr>
        <w:t>Rhéaume</w:t>
      </w:r>
      <w:r>
        <w:rPr>
          <w:rFonts w:ascii="Arial" w:hAnsi="Arial" w:cs="Arial"/>
          <w:sz w:val="24"/>
        </w:rPr>
        <w:t>,</w:t>
      </w:r>
      <w:r w:rsidRPr="008F4B8D">
        <w:rPr>
          <w:rFonts w:ascii="Arial" w:hAnsi="Arial" w:cs="Arial"/>
          <w:sz w:val="24"/>
        </w:rPr>
        <w:t xml:space="preserve"> Pascal, physicien, Directeur de projets WSP;</w:t>
      </w:r>
    </w:p>
    <w:p w:rsidR="004F3362" w:rsidRDefault="004F3362" w:rsidP="00A757B0">
      <w:pPr>
        <w:spacing w:after="120" w:line="240" w:lineRule="auto"/>
        <w:rPr>
          <w:rFonts w:ascii="Arial" w:hAnsi="Arial" w:cs="Arial"/>
          <w:sz w:val="24"/>
        </w:rPr>
      </w:pPr>
      <w:r w:rsidRPr="008F4B8D">
        <w:rPr>
          <w:rFonts w:ascii="Arial" w:hAnsi="Arial" w:cs="Arial"/>
          <w:sz w:val="24"/>
        </w:rPr>
        <w:t>Raymond</w:t>
      </w:r>
      <w:r>
        <w:rPr>
          <w:rFonts w:ascii="Arial" w:hAnsi="Arial" w:cs="Arial"/>
          <w:sz w:val="24"/>
        </w:rPr>
        <w:t>,</w:t>
      </w:r>
      <w:r w:rsidRPr="008F4B8D">
        <w:rPr>
          <w:rFonts w:ascii="Arial" w:hAnsi="Arial" w:cs="Arial"/>
          <w:sz w:val="24"/>
        </w:rPr>
        <w:t xml:space="preserve"> Patrice, Consultant sénior, gestion des risques industriels Targe Risques Management</w:t>
      </w:r>
      <w:r>
        <w:rPr>
          <w:rFonts w:ascii="Arial" w:hAnsi="Arial" w:cs="Arial"/>
          <w:sz w:val="24"/>
        </w:rPr>
        <w:t>;</w:t>
      </w:r>
    </w:p>
    <w:p w:rsidR="004F3362" w:rsidRPr="008F4B8D" w:rsidRDefault="004F3362" w:rsidP="00A757B0">
      <w:pPr>
        <w:spacing w:after="120" w:line="240" w:lineRule="auto"/>
        <w:rPr>
          <w:rFonts w:ascii="Arial" w:hAnsi="Arial" w:cs="Arial"/>
          <w:sz w:val="24"/>
        </w:rPr>
      </w:pPr>
      <w:r>
        <w:rPr>
          <w:rFonts w:ascii="Arial" w:hAnsi="Arial" w:cs="Arial"/>
          <w:sz w:val="24"/>
        </w:rPr>
        <w:t>Reiss, Robert, BSc. Chimie appliquée, Directeur du Comité technique du CRAIM.</w:t>
      </w:r>
    </w:p>
    <w:p w:rsidR="008F4B8D" w:rsidRDefault="008F4B8D">
      <w:pPr>
        <w:rPr>
          <w:rFonts w:ascii="Arial" w:hAnsi="Arial" w:cs="Arial"/>
          <w:b/>
          <w:sz w:val="24"/>
        </w:rPr>
      </w:pPr>
      <w:r>
        <w:rPr>
          <w:rFonts w:ascii="Arial" w:hAnsi="Arial" w:cs="Arial"/>
          <w:b/>
          <w:sz w:val="24"/>
        </w:rPr>
        <w:br w:type="page"/>
      </w:r>
    </w:p>
    <w:p w:rsidR="00603858" w:rsidRPr="002A31F6" w:rsidRDefault="004F3362" w:rsidP="007A688F">
      <w:pPr>
        <w:jc w:val="both"/>
        <w:rPr>
          <w:rFonts w:ascii="Arial" w:hAnsi="Arial" w:cs="Arial"/>
          <w:b/>
          <w:sz w:val="24"/>
        </w:rPr>
      </w:pPr>
      <w:r>
        <w:rPr>
          <w:rFonts w:ascii="Arial" w:hAnsi="Arial" w:cs="Arial"/>
          <w:b/>
          <w:sz w:val="24"/>
        </w:rPr>
        <w:t>Introduction</w:t>
      </w:r>
    </w:p>
    <w:p w:rsidR="003E059D" w:rsidRDefault="003E059D" w:rsidP="007A688F">
      <w:pPr>
        <w:jc w:val="both"/>
        <w:rPr>
          <w:rFonts w:ascii="Arial" w:hAnsi="Arial" w:cs="Arial"/>
          <w:sz w:val="24"/>
        </w:rPr>
      </w:pPr>
      <w:r>
        <w:rPr>
          <w:rFonts w:ascii="Arial" w:hAnsi="Arial" w:cs="Arial"/>
          <w:sz w:val="24"/>
        </w:rPr>
        <w:t xml:space="preserve">Le CRAIM est heureux </w:t>
      </w:r>
      <w:r w:rsidR="00796EA5">
        <w:rPr>
          <w:rFonts w:ascii="Arial" w:hAnsi="Arial" w:cs="Arial"/>
          <w:sz w:val="24"/>
        </w:rPr>
        <w:t>de constater qu’Environnement Canada souhaite apporter</w:t>
      </w:r>
      <w:r>
        <w:rPr>
          <w:rFonts w:ascii="Arial" w:hAnsi="Arial" w:cs="Arial"/>
          <w:sz w:val="24"/>
        </w:rPr>
        <w:t xml:space="preserve"> des modifications au </w:t>
      </w:r>
      <w:r w:rsidR="00796EA5">
        <w:rPr>
          <w:rFonts w:ascii="Arial" w:hAnsi="Arial" w:cs="Arial"/>
          <w:sz w:val="24"/>
        </w:rPr>
        <w:t xml:space="preserve">Règlement sur les </w:t>
      </w:r>
      <w:r>
        <w:rPr>
          <w:rFonts w:ascii="Arial" w:hAnsi="Arial" w:cs="Arial"/>
          <w:sz w:val="24"/>
        </w:rPr>
        <w:t>U</w:t>
      </w:r>
      <w:r w:rsidR="00796EA5">
        <w:rPr>
          <w:rFonts w:ascii="Arial" w:hAnsi="Arial" w:cs="Arial"/>
          <w:sz w:val="24"/>
        </w:rPr>
        <w:t xml:space="preserve">rgences </w:t>
      </w:r>
      <w:r>
        <w:rPr>
          <w:rFonts w:ascii="Arial" w:hAnsi="Arial" w:cs="Arial"/>
          <w:sz w:val="24"/>
        </w:rPr>
        <w:t>E</w:t>
      </w:r>
      <w:r w:rsidR="00796EA5">
        <w:rPr>
          <w:rFonts w:ascii="Arial" w:hAnsi="Arial" w:cs="Arial"/>
          <w:sz w:val="24"/>
        </w:rPr>
        <w:t>nvironnementale</w:t>
      </w:r>
      <w:r w:rsidR="00CE60F0">
        <w:rPr>
          <w:rFonts w:ascii="Arial" w:hAnsi="Arial" w:cs="Arial"/>
          <w:sz w:val="24"/>
        </w:rPr>
        <w:t>s</w:t>
      </w:r>
      <w:r w:rsidR="00725226">
        <w:rPr>
          <w:rFonts w:ascii="Arial" w:hAnsi="Arial" w:cs="Arial"/>
          <w:sz w:val="24"/>
        </w:rPr>
        <w:t xml:space="preserve"> et que le ministère organis</w:t>
      </w:r>
      <w:r w:rsidR="00796EA5">
        <w:rPr>
          <w:rFonts w:ascii="Arial" w:hAnsi="Arial" w:cs="Arial"/>
          <w:sz w:val="24"/>
        </w:rPr>
        <w:t>e</w:t>
      </w:r>
      <w:r w:rsidR="00725226">
        <w:rPr>
          <w:rFonts w:ascii="Arial" w:hAnsi="Arial" w:cs="Arial"/>
          <w:sz w:val="24"/>
        </w:rPr>
        <w:t xml:space="preserve"> des consultations</w:t>
      </w:r>
      <w:r>
        <w:rPr>
          <w:rFonts w:ascii="Arial" w:hAnsi="Arial" w:cs="Arial"/>
          <w:sz w:val="24"/>
        </w:rPr>
        <w:t>.</w:t>
      </w:r>
    </w:p>
    <w:p w:rsidR="003E059D" w:rsidRDefault="003E059D" w:rsidP="00D64386">
      <w:pPr>
        <w:jc w:val="both"/>
        <w:rPr>
          <w:rFonts w:ascii="Arial" w:hAnsi="Arial" w:cs="Arial"/>
          <w:i/>
          <w:sz w:val="20"/>
        </w:rPr>
      </w:pPr>
      <w:r>
        <w:rPr>
          <w:rFonts w:ascii="Arial" w:hAnsi="Arial" w:cs="Arial"/>
          <w:sz w:val="24"/>
        </w:rPr>
        <w:t>Dans ce mémoire</w:t>
      </w:r>
      <w:r w:rsidR="00CE60F0">
        <w:rPr>
          <w:rFonts w:ascii="Arial" w:hAnsi="Arial" w:cs="Arial"/>
          <w:sz w:val="24"/>
        </w:rPr>
        <w:t>,</w:t>
      </w:r>
      <w:r>
        <w:rPr>
          <w:rFonts w:ascii="Arial" w:hAnsi="Arial" w:cs="Arial"/>
          <w:sz w:val="24"/>
        </w:rPr>
        <w:t xml:space="preserve"> </w:t>
      </w:r>
      <w:r w:rsidR="004F3362">
        <w:rPr>
          <w:rFonts w:ascii="Arial" w:hAnsi="Arial" w:cs="Arial"/>
          <w:sz w:val="24"/>
        </w:rPr>
        <w:t xml:space="preserve">adopté par résolution du conseil d’administration lors de la rencontre du 4 avril 2013, </w:t>
      </w:r>
      <w:r>
        <w:rPr>
          <w:rFonts w:ascii="Arial" w:hAnsi="Arial" w:cs="Arial"/>
          <w:sz w:val="24"/>
        </w:rPr>
        <w:t xml:space="preserve">nous </w:t>
      </w:r>
      <w:r w:rsidR="00796EA5">
        <w:rPr>
          <w:rFonts w:ascii="Arial" w:hAnsi="Arial" w:cs="Arial"/>
          <w:sz w:val="24"/>
        </w:rPr>
        <w:t>souhaitons souligner n</w:t>
      </w:r>
      <w:r>
        <w:rPr>
          <w:rFonts w:ascii="Arial" w:hAnsi="Arial" w:cs="Arial"/>
          <w:sz w:val="24"/>
        </w:rPr>
        <w:t>o</w:t>
      </w:r>
      <w:r w:rsidR="00796EA5">
        <w:rPr>
          <w:rFonts w:ascii="Arial" w:hAnsi="Arial" w:cs="Arial"/>
          <w:sz w:val="24"/>
        </w:rPr>
        <w:t>s</w:t>
      </w:r>
      <w:r>
        <w:rPr>
          <w:rFonts w:ascii="Arial" w:hAnsi="Arial" w:cs="Arial"/>
          <w:sz w:val="24"/>
        </w:rPr>
        <w:t xml:space="preserve"> argument</w:t>
      </w:r>
      <w:r w:rsidR="00796EA5">
        <w:rPr>
          <w:rFonts w:ascii="Arial" w:hAnsi="Arial" w:cs="Arial"/>
          <w:sz w:val="24"/>
        </w:rPr>
        <w:t>s qui militent en faveur de certain</w:t>
      </w:r>
      <w:r w:rsidR="00F2473A">
        <w:rPr>
          <w:rFonts w:ascii="Arial" w:hAnsi="Arial" w:cs="Arial"/>
          <w:sz w:val="24"/>
        </w:rPr>
        <w:t>e</w:t>
      </w:r>
      <w:r w:rsidR="00796EA5">
        <w:rPr>
          <w:rFonts w:ascii="Arial" w:hAnsi="Arial" w:cs="Arial"/>
          <w:sz w:val="24"/>
        </w:rPr>
        <w:t xml:space="preserve">s </w:t>
      </w:r>
      <w:r w:rsidR="00F2473A">
        <w:rPr>
          <w:rFonts w:ascii="Arial" w:hAnsi="Arial" w:cs="Arial"/>
          <w:sz w:val="24"/>
        </w:rPr>
        <w:t>modifications que nous proposons et des éclaircissements ou</w:t>
      </w:r>
      <w:r>
        <w:rPr>
          <w:rFonts w:ascii="Arial" w:hAnsi="Arial" w:cs="Arial"/>
          <w:sz w:val="24"/>
        </w:rPr>
        <w:t xml:space="preserve"> des ajouts à apporter</w:t>
      </w:r>
      <w:r w:rsidR="00D64386">
        <w:rPr>
          <w:rFonts w:ascii="Arial" w:hAnsi="Arial" w:cs="Arial"/>
          <w:sz w:val="24"/>
        </w:rPr>
        <w:t xml:space="preserve"> et inscrit</w:t>
      </w:r>
      <w:r w:rsidR="00CE60F0">
        <w:rPr>
          <w:rFonts w:ascii="Arial" w:hAnsi="Arial" w:cs="Arial"/>
          <w:sz w:val="24"/>
        </w:rPr>
        <w:t>s</w:t>
      </w:r>
      <w:r w:rsidR="00D64386">
        <w:rPr>
          <w:rFonts w:ascii="Arial" w:hAnsi="Arial" w:cs="Arial"/>
          <w:sz w:val="24"/>
        </w:rPr>
        <w:t xml:space="preserve"> dans le </w:t>
      </w:r>
      <w:r w:rsidR="00D64386" w:rsidRPr="00D64386">
        <w:rPr>
          <w:rFonts w:ascii="Arial" w:hAnsi="Arial" w:cs="Arial"/>
          <w:i/>
          <w:sz w:val="20"/>
        </w:rPr>
        <w:t>DOCUMENT DE CONSULTATIONS PRÉLIMINAIRES VISANT L’ÉLABORATION DE MODIFICATIONS ÉVENTUELLES AU RÈGLEMENT SUR LES URGENCES ENVIRONNEMENTALES</w:t>
      </w:r>
      <w:r w:rsidRPr="00D64386">
        <w:rPr>
          <w:rFonts w:ascii="Arial" w:hAnsi="Arial" w:cs="Arial"/>
          <w:i/>
          <w:sz w:val="20"/>
        </w:rPr>
        <w:t>.</w:t>
      </w:r>
    </w:p>
    <w:p w:rsidR="00A757B0" w:rsidRDefault="00A757B0">
      <w:pPr>
        <w:spacing w:after="0" w:line="240" w:lineRule="auto"/>
        <w:rPr>
          <w:rFonts w:ascii="Arial" w:hAnsi="Arial" w:cs="Arial"/>
          <w:b/>
          <w:sz w:val="24"/>
          <w:u w:val="single"/>
        </w:rPr>
      </w:pPr>
      <w:r>
        <w:rPr>
          <w:rFonts w:ascii="Arial" w:hAnsi="Arial" w:cs="Arial"/>
          <w:b/>
          <w:sz w:val="24"/>
          <w:u w:val="single"/>
        </w:rPr>
        <w:br w:type="page"/>
      </w:r>
    </w:p>
    <w:p w:rsidR="00A757B0" w:rsidRDefault="00A757B0" w:rsidP="00D64386">
      <w:pPr>
        <w:jc w:val="both"/>
        <w:rPr>
          <w:rFonts w:ascii="Arial" w:hAnsi="Arial" w:cs="Arial"/>
          <w:b/>
          <w:sz w:val="24"/>
          <w:u w:val="single"/>
        </w:rPr>
      </w:pPr>
      <w:r>
        <w:rPr>
          <w:rFonts w:ascii="Arial" w:hAnsi="Arial" w:cs="Arial"/>
          <w:b/>
          <w:sz w:val="24"/>
          <w:u w:val="single"/>
        </w:rPr>
        <w:t>DISCUSSION</w:t>
      </w:r>
    </w:p>
    <w:p w:rsidR="00A757B0" w:rsidRDefault="00A757B0" w:rsidP="00D64386">
      <w:pPr>
        <w:jc w:val="both"/>
        <w:rPr>
          <w:rFonts w:ascii="Arial" w:hAnsi="Arial" w:cs="Arial"/>
          <w:b/>
          <w:sz w:val="24"/>
          <w:u w:val="single"/>
        </w:rPr>
      </w:pPr>
    </w:p>
    <w:p w:rsidR="00FF6559" w:rsidRPr="00FF6559" w:rsidRDefault="00FF6559" w:rsidP="00D64386">
      <w:pPr>
        <w:jc w:val="both"/>
        <w:rPr>
          <w:rFonts w:ascii="Arial" w:hAnsi="Arial" w:cs="Arial"/>
          <w:b/>
          <w:sz w:val="32"/>
          <w:u w:val="single"/>
        </w:rPr>
      </w:pPr>
      <w:r w:rsidRPr="00FF6559">
        <w:rPr>
          <w:rFonts w:ascii="Arial" w:hAnsi="Arial" w:cs="Arial"/>
          <w:b/>
          <w:sz w:val="24"/>
          <w:u w:val="single"/>
        </w:rPr>
        <w:t>SECTION A</w:t>
      </w:r>
    </w:p>
    <w:p w:rsidR="00D64386" w:rsidRPr="00736692" w:rsidRDefault="00D64386" w:rsidP="00D64386">
      <w:pPr>
        <w:pStyle w:val="ListParagraph"/>
        <w:numPr>
          <w:ilvl w:val="0"/>
          <w:numId w:val="2"/>
        </w:numPr>
        <w:rPr>
          <w:b/>
        </w:rPr>
      </w:pPr>
      <w:r w:rsidRPr="00736692">
        <w:rPr>
          <w:b/>
        </w:rPr>
        <w:t>Éléments</w:t>
      </w:r>
      <w:r w:rsidR="00917E9D" w:rsidRPr="00736692">
        <w:rPr>
          <w:b/>
        </w:rPr>
        <w:t xml:space="preserve"> </w:t>
      </w:r>
      <w:r w:rsidRPr="00736692">
        <w:rPr>
          <w:b/>
        </w:rPr>
        <w:t xml:space="preserve">avec lesquels le CRAIM est </w:t>
      </w:r>
      <w:r w:rsidR="00917E9D" w:rsidRPr="00736692">
        <w:rPr>
          <w:b/>
        </w:rPr>
        <w:t>en ACCORD</w:t>
      </w:r>
      <w:r w:rsidRPr="00736692">
        <w:rPr>
          <w:b/>
        </w:rPr>
        <w:t xml:space="preserve"> </w:t>
      </w:r>
      <w:r w:rsidR="00917E9D" w:rsidRPr="00736692">
        <w:rPr>
          <w:b/>
        </w:rPr>
        <w:t>:</w:t>
      </w:r>
    </w:p>
    <w:p w:rsidR="003E059D" w:rsidRDefault="00D64386" w:rsidP="004F3362">
      <w:pPr>
        <w:pStyle w:val="ListParagraph"/>
        <w:numPr>
          <w:ilvl w:val="0"/>
          <w:numId w:val="34"/>
        </w:numPr>
      </w:pPr>
      <w:r>
        <w:t xml:space="preserve">Le CRAIM est en accord </w:t>
      </w:r>
      <w:r w:rsidR="00CE60F0">
        <w:t>avec</w:t>
      </w:r>
      <w:r w:rsidR="003E059D" w:rsidRPr="003E059D">
        <w:t xml:space="preserve"> l’ajout des substances proposées;</w:t>
      </w:r>
    </w:p>
    <w:p w:rsidR="00917E9D" w:rsidRDefault="003E059D" w:rsidP="004F3362">
      <w:pPr>
        <w:pStyle w:val="ListParagraph"/>
        <w:numPr>
          <w:ilvl w:val="0"/>
          <w:numId w:val="34"/>
        </w:numPr>
      </w:pPr>
      <w:r>
        <w:t xml:space="preserve">Le CRAIM </w:t>
      </w:r>
      <w:r w:rsidR="00D64386">
        <w:t xml:space="preserve">est en accord avec les </w:t>
      </w:r>
      <w:r>
        <w:t xml:space="preserve">modifications </w:t>
      </w:r>
      <w:r w:rsidR="00D64386">
        <w:t xml:space="preserve">proposées </w:t>
      </w:r>
      <w:r>
        <w:t xml:space="preserve">des quantités seuils pour </w:t>
      </w:r>
      <w:r w:rsidR="004F2757">
        <w:t>la plupart des substances</w:t>
      </w:r>
      <w:r w:rsidR="0087282B">
        <w:t xml:space="preserve">, </w:t>
      </w:r>
      <w:r w:rsidR="004F2757">
        <w:t>mais exprime des réserves sur les acides (voir plus loin le point Désaccord)</w:t>
      </w:r>
      <w:r>
        <w:t>;</w:t>
      </w:r>
    </w:p>
    <w:p w:rsidR="00473833" w:rsidRDefault="00473833" w:rsidP="004F3362">
      <w:pPr>
        <w:pStyle w:val="ListParagraph"/>
        <w:numPr>
          <w:ilvl w:val="0"/>
          <w:numId w:val="34"/>
        </w:numPr>
      </w:pPr>
      <w:r>
        <w:t xml:space="preserve">Le CRAIM applaudit l’éclaircissement B 5.1 </w:t>
      </w:r>
      <w:r w:rsidR="008B5850">
        <w:t>concernant</w:t>
      </w:r>
      <w:r>
        <w:t xml:space="preserve"> le délai de 12 mois après la diminution de la quantité de la </w:t>
      </w:r>
      <w:r w:rsidR="008B5850">
        <w:t>substance</w:t>
      </w:r>
      <w:r>
        <w:t xml:space="preserve"> e</w:t>
      </w:r>
      <w:r w:rsidR="00725226">
        <w:t>n</w:t>
      </w:r>
      <w:r w:rsidR="007A5FD9">
        <w:t xml:space="preserve"> </w:t>
      </w:r>
      <w:r w:rsidR="00725226">
        <w:t>deçà</w:t>
      </w:r>
      <w:r>
        <w:t xml:space="preserve"> de la </w:t>
      </w:r>
      <w:r w:rsidR="008B5850">
        <w:t>quantité</w:t>
      </w:r>
      <w:r>
        <w:t xml:space="preserve"> seuil;</w:t>
      </w:r>
    </w:p>
    <w:p w:rsidR="00D24FCF" w:rsidRPr="00D64386" w:rsidRDefault="00473833" w:rsidP="004F3362">
      <w:pPr>
        <w:pStyle w:val="ListParagraph"/>
        <w:numPr>
          <w:ilvl w:val="0"/>
          <w:numId w:val="34"/>
        </w:numPr>
      </w:pPr>
      <w:r>
        <w:t xml:space="preserve">Le CRAIM est en accord avec les </w:t>
      </w:r>
      <w:r w:rsidR="008B5850">
        <w:t>modifications</w:t>
      </w:r>
      <w:r>
        <w:t xml:space="preserve"> de la section B7. </w:t>
      </w:r>
      <w:r w:rsidR="00FF6559">
        <w:t>C</w:t>
      </w:r>
      <w:r>
        <w:t xml:space="preserve">ela rend cette partie du </w:t>
      </w:r>
      <w:r w:rsidR="008B5850">
        <w:t>règlement</w:t>
      </w:r>
      <w:r>
        <w:t xml:space="preserve"> plus claire quant à la communication du risque;</w:t>
      </w:r>
    </w:p>
    <w:p w:rsidR="00917E9D" w:rsidRDefault="00D64386" w:rsidP="00D64386">
      <w:pPr>
        <w:pStyle w:val="ListParagraph"/>
        <w:numPr>
          <w:ilvl w:val="0"/>
          <w:numId w:val="2"/>
        </w:numPr>
        <w:rPr>
          <w:b/>
        </w:rPr>
      </w:pPr>
      <w:r w:rsidRPr="00736692">
        <w:rPr>
          <w:b/>
        </w:rPr>
        <w:t xml:space="preserve">Éléments avec lesquels le CRAIM est en </w:t>
      </w:r>
      <w:r w:rsidR="00917E9D" w:rsidRPr="00736692">
        <w:rPr>
          <w:b/>
        </w:rPr>
        <w:t>DÉSACCORD :</w:t>
      </w:r>
    </w:p>
    <w:p w:rsidR="00C304F1" w:rsidRPr="00736692" w:rsidRDefault="00C304F1" w:rsidP="00C304F1">
      <w:pPr>
        <w:pStyle w:val="ListParagraph"/>
        <w:rPr>
          <w:b/>
        </w:rPr>
      </w:pPr>
    </w:p>
    <w:p w:rsidR="00DE3A8B" w:rsidRDefault="00917E9D" w:rsidP="00C304F1">
      <w:pPr>
        <w:pStyle w:val="ListParagraph"/>
        <w:numPr>
          <w:ilvl w:val="0"/>
          <w:numId w:val="35"/>
        </w:numPr>
      </w:pPr>
      <w:r w:rsidRPr="00D64386">
        <w:t xml:space="preserve">La quantité seuil </w:t>
      </w:r>
      <w:r w:rsidR="00603858">
        <w:t xml:space="preserve">(QS) </w:t>
      </w:r>
      <w:r w:rsidRPr="00D64386">
        <w:t>de l’ammoniac en solutio</w:t>
      </w:r>
      <w:r w:rsidR="00DE3A8B">
        <w:t>n aqueuse établie à 9.1 tonnes.</w:t>
      </w:r>
    </w:p>
    <w:p w:rsidR="00736692" w:rsidRDefault="00917E9D" w:rsidP="004F3362">
      <w:pPr>
        <w:pStyle w:val="ListParagraph"/>
        <w:ind w:left="1211"/>
      </w:pPr>
      <w:r w:rsidRPr="00D64386">
        <w:t>Cette quantité de substance</w:t>
      </w:r>
      <w:r w:rsidR="004F2757">
        <w:t>,</w:t>
      </w:r>
      <w:r w:rsidRPr="00D64386">
        <w:t xml:space="preserve"> </w:t>
      </w:r>
      <w:r w:rsidR="004F2757">
        <w:t>avec</w:t>
      </w:r>
      <w:r w:rsidRPr="00D64386">
        <w:t xml:space="preserve"> une concentration de 20% peut occasionner des effets </w:t>
      </w:r>
      <w:r w:rsidR="00D24FCF" w:rsidRPr="00D64386">
        <w:t>importants</w:t>
      </w:r>
      <w:r w:rsidRPr="00D64386">
        <w:t xml:space="preserve"> sur la santé (</w:t>
      </w:r>
      <w:r w:rsidR="00603858" w:rsidRPr="00D64386">
        <w:t>AEGL</w:t>
      </w:r>
      <w:r w:rsidR="00603858">
        <w:t>-</w:t>
      </w:r>
      <w:r w:rsidR="00D24FCF" w:rsidRPr="00D64386">
        <w:t>2</w:t>
      </w:r>
      <w:r w:rsidRPr="00D64386">
        <w:t xml:space="preserve"> de  </w:t>
      </w:r>
      <w:r w:rsidR="00DE3A8B">
        <w:t>160</w:t>
      </w:r>
      <w:r w:rsidR="00F2473A" w:rsidRPr="00D64386">
        <w:t xml:space="preserve"> </w:t>
      </w:r>
      <w:r w:rsidRPr="00D64386">
        <w:t xml:space="preserve">ppm) allant à des distances de </w:t>
      </w:r>
      <w:r w:rsidR="00D24FCF" w:rsidRPr="00D64386">
        <w:t>1,1 km selon ALOHA v. 5.4.4</w:t>
      </w:r>
      <w:r w:rsidRPr="00D64386">
        <w:t xml:space="preserve">. </w:t>
      </w:r>
    </w:p>
    <w:p w:rsidR="005E7213" w:rsidRDefault="00736692" w:rsidP="004F3362">
      <w:pPr>
        <w:pStyle w:val="ListParagraph"/>
        <w:ind w:left="1211"/>
      </w:pPr>
      <w:r w:rsidRPr="00C304F1">
        <w:rPr>
          <w:b/>
        </w:rPr>
        <w:t>RECOMMANDATION</w:t>
      </w:r>
      <w:r>
        <w:t xml:space="preserve"> : </w:t>
      </w:r>
      <w:r w:rsidR="00890D9B" w:rsidRPr="00D64386">
        <w:t>Selon nous, l</w:t>
      </w:r>
      <w:r w:rsidR="00917E9D" w:rsidRPr="00D64386">
        <w:t xml:space="preserve">a quantité seuil devrait être ramenée à </w:t>
      </w:r>
      <w:r w:rsidR="004F2757">
        <w:t xml:space="preserve">la valeur correspondant aux effets recherchés en utilisant le critère </w:t>
      </w:r>
      <w:r w:rsidR="00603858">
        <w:t>AEGL-</w:t>
      </w:r>
      <w:r w:rsidR="004F2757">
        <w:t xml:space="preserve">2 d’une heure et une méthode </w:t>
      </w:r>
      <w:r w:rsidR="004F2757" w:rsidRPr="004F3362">
        <w:t>fiable, reproductible et transparente</w:t>
      </w:r>
      <w:r w:rsidR="004F2757" w:rsidRPr="00D64386">
        <w:t xml:space="preserve"> </w:t>
      </w:r>
      <w:r w:rsidR="004F2757">
        <w:t xml:space="preserve">et </w:t>
      </w:r>
      <w:r w:rsidR="004F2757" w:rsidRPr="004F3362">
        <w:t xml:space="preserve">sur le principe “d’équivalence de préjudice” </w:t>
      </w:r>
      <w:r w:rsidR="00890D9B" w:rsidRPr="00D64386">
        <w:t>afin de réduire les conséquences d’un accident impliquant ce produit</w:t>
      </w:r>
      <w:r w:rsidR="00917E9D" w:rsidRPr="00D64386">
        <w:t>.</w:t>
      </w:r>
      <w:r w:rsidR="004F2757">
        <w:t xml:space="preserve"> L</w:t>
      </w:r>
      <w:r w:rsidR="005E7213" w:rsidRPr="005E7213">
        <w:t xml:space="preserve">es QS d’une substance de chacune des catégories doivent être telles </w:t>
      </w:r>
      <w:r w:rsidR="00760F8B">
        <w:t xml:space="preserve">qu’elles causent </w:t>
      </w:r>
      <w:r w:rsidR="005E7213" w:rsidRPr="005E7213">
        <w:t xml:space="preserve"> un même degré de dommages.</w:t>
      </w:r>
    </w:p>
    <w:p w:rsidR="00C304F1" w:rsidRDefault="00C304F1" w:rsidP="004F3362">
      <w:pPr>
        <w:pStyle w:val="ListParagraph"/>
        <w:ind w:left="1211"/>
      </w:pPr>
    </w:p>
    <w:p w:rsidR="005E7213" w:rsidRDefault="005E7213" w:rsidP="00C304F1">
      <w:pPr>
        <w:pStyle w:val="ListParagraph"/>
        <w:numPr>
          <w:ilvl w:val="0"/>
          <w:numId w:val="35"/>
        </w:numPr>
      </w:pPr>
      <w:r>
        <w:t>Les quantités seuils des acides forts et l’utilisation de critère de concentration de pH plus petit que 2.</w:t>
      </w:r>
    </w:p>
    <w:p w:rsidR="005E7213" w:rsidRDefault="005E7213" w:rsidP="00C304F1">
      <w:pPr>
        <w:pStyle w:val="ListParagraph"/>
        <w:ind w:left="1211"/>
      </w:pPr>
      <w:r>
        <w:t xml:space="preserve">Le CRAIM aimerait connaître les justifications de </w:t>
      </w:r>
      <w:r w:rsidR="00603858">
        <w:t xml:space="preserve">l’abaissement </w:t>
      </w:r>
      <w:r>
        <w:t xml:space="preserve">des quantités seuils de ces acides à un niveau </w:t>
      </w:r>
      <w:r w:rsidR="00815B78">
        <w:t>aussi</w:t>
      </w:r>
      <w:r>
        <w:t xml:space="preserve"> bas que 225 kg. En effet la modélisation d’un baril </w:t>
      </w:r>
      <w:r w:rsidR="00603858">
        <w:t xml:space="preserve">d’acide </w:t>
      </w:r>
      <w:r>
        <w:t xml:space="preserve">chlorhydrique à 37% donne un </w:t>
      </w:r>
      <w:r w:rsidR="00815B78">
        <w:t>impact</w:t>
      </w:r>
      <w:r w:rsidR="00CE60F0">
        <w:t xml:space="preserve"> mineur d’environ 60</w:t>
      </w:r>
      <w:r>
        <w:t xml:space="preserve"> mètres </w:t>
      </w:r>
      <w:r w:rsidR="00815B78">
        <w:t>selon</w:t>
      </w:r>
      <w:r>
        <w:t xml:space="preserve"> le logiciel ALOHA.</w:t>
      </w:r>
    </w:p>
    <w:p w:rsidR="009B4B7D" w:rsidRDefault="005E7213" w:rsidP="00C304F1">
      <w:pPr>
        <w:pStyle w:val="ListParagraph"/>
        <w:ind w:left="1211"/>
      </w:pPr>
      <w:r>
        <w:t>De plus, l’utilisation du critère de pH à la colonne 2 de la liste des substances va à l’encontre du Règlement sur 2 critères :</w:t>
      </w:r>
    </w:p>
    <w:p w:rsidR="009B4B7D" w:rsidRDefault="009B4B7D" w:rsidP="00C304F1">
      <w:pPr>
        <w:pStyle w:val="ListParagraph"/>
        <w:numPr>
          <w:ilvl w:val="0"/>
          <w:numId w:val="32"/>
        </w:numPr>
        <w:tabs>
          <w:tab w:val="left" w:pos="1560"/>
        </w:tabs>
        <w:ind w:left="1571"/>
      </w:pPr>
      <w:r>
        <w:t>Selon la définition de substance du Règlement :</w:t>
      </w:r>
    </w:p>
    <w:p w:rsidR="009B4B7D" w:rsidRDefault="009B4B7D" w:rsidP="00C304F1">
      <w:pPr>
        <w:ind w:left="1571"/>
        <w:rPr>
          <w:rFonts w:ascii="Arial" w:hAnsi="Arial" w:cs="Arial"/>
          <w:sz w:val="24"/>
        </w:rPr>
      </w:pPr>
      <w:r>
        <w:rPr>
          <w:rFonts w:ascii="Arial" w:hAnsi="Arial" w:cs="Arial"/>
          <w:sz w:val="24"/>
        </w:rPr>
        <w:t xml:space="preserve">La </w:t>
      </w:r>
      <w:r w:rsidRPr="009B4B7D">
        <w:rPr>
          <w:rFonts w:ascii="Arial" w:hAnsi="Arial" w:cs="Arial"/>
          <w:sz w:val="24"/>
        </w:rPr>
        <w:t xml:space="preserve">liste des substances de l’annexe 1 dont la </w:t>
      </w:r>
      <w:r w:rsidRPr="009B4B7D">
        <w:rPr>
          <w:rFonts w:ascii="Arial" w:hAnsi="Arial" w:cs="Arial"/>
          <w:sz w:val="24"/>
          <w:u w:val="single"/>
        </w:rPr>
        <w:t>concentration est égale ou supérieure à celle prévue à la colonne 2</w:t>
      </w:r>
      <w:r w:rsidRPr="009B4B7D">
        <w:rPr>
          <w:rFonts w:ascii="Arial" w:hAnsi="Arial" w:cs="Arial"/>
          <w:sz w:val="24"/>
        </w:rPr>
        <w:t xml:space="preserve"> répond à la définition de substance de l’article 193 de la LCPE</w:t>
      </w:r>
      <w:r w:rsidR="00815B78" w:rsidRPr="009B4B7D">
        <w:rPr>
          <w:rFonts w:ascii="Arial" w:hAnsi="Arial" w:cs="Arial"/>
          <w:sz w:val="24"/>
        </w:rPr>
        <w:t>, 1999</w:t>
      </w:r>
      <w:r>
        <w:rPr>
          <w:rFonts w:ascii="Arial" w:hAnsi="Arial" w:cs="Arial"/>
          <w:sz w:val="24"/>
        </w:rPr>
        <w:t>.</w:t>
      </w:r>
    </w:p>
    <w:p w:rsidR="009B4B7D" w:rsidRDefault="009B4B7D" w:rsidP="00C304F1">
      <w:pPr>
        <w:ind w:left="1571"/>
        <w:rPr>
          <w:rFonts w:ascii="Arial" w:hAnsi="Arial" w:cs="Arial"/>
          <w:sz w:val="24"/>
        </w:rPr>
      </w:pPr>
      <w:r>
        <w:rPr>
          <w:rFonts w:ascii="Arial" w:hAnsi="Arial" w:cs="Arial"/>
          <w:sz w:val="24"/>
        </w:rPr>
        <w:t>Donc, nous devrions retrouver à la colonne 2 de la nouvelle liste une concentration et non une valeur de pH qui n’en est pas une.</w:t>
      </w:r>
    </w:p>
    <w:p w:rsidR="009B4B7D" w:rsidRDefault="009B4B7D" w:rsidP="00C304F1">
      <w:pPr>
        <w:pStyle w:val="ListParagraph"/>
        <w:numPr>
          <w:ilvl w:val="0"/>
          <w:numId w:val="32"/>
        </w:numPr>
        <w:tabs>
          <w:tab w:val="left" w:pos="1560"/>
        </w:tabs>
        <w:ind w:left="1571"/>
      </w:pPr>
      <w:r>
        <w:t>De plus, en utilisant une valeur de pH, il est probable qu’un facteur d’inclusion d’une substance dans la liste ne soit pas respecté soit celui concernant la pression de vapeur minimale de 10 mm de mercure.</w:t>
      </w:r>
    </w:p>
    <w:p w:rsidR="009B4B7D" w:rsidRPr="009B4B7D" w:rsidRDefault="009B4B7D" w:rsidP="00C304F1">
      <w:pPr>
        <w:ind w:left="1571"/>
        <w:rPr>
          <w:rFonts w:ascii="Arial" w:hAnsi="Arial" w:cs="Arial"/>
          <w:sz w:val="24"/>
        </w:rPr>
      </w:pPr>
      <w:r w:rsidRPr="009B4B7D">
        <w:rPr>
          <w:rFonts w:ascii="Arial" w:hAnsi="Arial" w:cs="Arial"/>
          <w:sz w:val="24"/>
        </w:rPr>
        <w:t>Voici le texte tiré des Lignes directrices de 2011 à la page 53 :</w:t>
      </w:r>
    </w:p>
    <w:p w:rsidR="009B4B7D" w:rsidRPr="00A05048" w:rsidRDefault="009B4B7D" w:rsidP="00C304F1">
      <w:pPr>
        <w:pStyle w:val="Default"/>
        <w:ind w:left="1571"/>
        <w:rPr>
          <w:rFonts w:ascii="Arial" w:hAnsi="Arial" w:cs="Arial"/>
          <w:i/>
          <w:color w:val="auto"/>
          <w:sz w:val="22"/>
          <w:szCs w:val="22"/>
        </w:rPr>
      </w:pPr>
      <w:r>
        <w:rPr>
          <w:rFonts w:ascii="Arial" w:hAnsi="Arial" w:cs="Arial"/>
          <w:color w:val="auto"/>
          <w:szCs w:val="22"/>
        </w:rPr>
        <w:t>``</w:t>
      </w:r>
      <w:r w:rsidRPr="00A05048">
        <w:rPr>
          <w:rFonts w:ascii="Arial" w:hAnsi="Arial" w:cs="Arial"/>
          <w:i/>
          <w:color w:val="auto"/>
          <w:sz w:val="22"/>
          <w:szCs w:val="22"/>
        </w:rPr>
        <w:t xml:space="preserve">2. Pour l'application de la définition de « substance » à l'article 193 de la Loi, la liste des substances comprend les substances figurant à la colonne 1 de l'annexe 1 qui sont à l'état pur ou qui sont présentes dans un mélange en une concentration égale ou supérieure à celle prévue à la colonne 2, mais ne comprend pas : </w:t>
      </w:r>
    </w:p>
    <w:p w:rsidR="009B4B7D" w:rsidRPr="00A05048" w:rsidRDefault="009B4B7D" w:rsidP="00C304F1">
      <w:pPr>
        <w:pStyle w:val="Default"/>
        <w:ind w:left="1571"/>
        <w:rPr>
          <w:rFonts w:ascii="Arial" w:hAnsi="Arial" w:cs="Arial"/>
          <w:i/>
          <w:color w:val="auto"/>
          <w:sz w:val="22"/>
          <w:szCs w:val="22"/>
        </w:rPr>
      </w:pPr>
      <w:r w:rsidRPr="00A05048">
        <w:rPr>
          <w:rFonts w:ascii="Arial" w:hAnsi="Arial" w:cs="Arial"/>
          <w:i/>
          <w:color w:val="auto"/>
          <w:sz w:val="22"/>
          <w:szCs w:val="22"/>
        </w:rPr>
        <w:t>a) les substances</w:t>
      </w:r>
      <w:r w:rsidR="0087282B">
        <w:rPr>
          <w:rFonts w:ascii="Arial" w:hAnsi="Arial" w:cs="Arial"/>
          <w:i/>
          <w:color w:val="auto"/>
          <w:sz w:val="22"/>
          <w:szCs w:val="22"/>
        </w:rPr>
        <w:t xml:space="preserve">, </w:t>
      </w:r>
      <w:r w:rsidRPr="00A05048">
        <w:rPr>
          <w:rFonts w:ascii="Arial" w:hAnsi="Arial" w:cs="Arial"/>
          <w:i/>
          <w:color w:val="auto"/>
          <w:sz w:val="22"/>
          <w:szCs w:val="22"/>
        </w:rPr>
        <w:t>figurant à la colonne 1 de la partie 1 de l'annexe 1</w:t>
      </w:r>
      <w:r w:rsidR="0087282B">
        <w:rPr>
          <w:rFonts w:ascii="Arial" w:hAnsi="Arial" w:cs="Arial"/>
          <w:i/>
          <w:color w:val="auto"/>
          <w:sz w:val="22"/>
          <w:szCs w:val="22"/>
        </w:rPr>
        <w:t xml:space="preserve">, </w:t>
      </w:r>
      <w:r w:rsidRPr="00A05048">
        <w:rPr>
          <w:rFonts w:ascii="Arial" w:hAnsi="Arial" w:cs="Arial"/>
          <w:i/>
          <w:color w:val="auto"/>
          <w:sz w:val="22"/>
          <w:szCs w:val="22"/>
        </w:rPr>
        <w:t xml:space="preserve">qui sont présentes dans un mélange dont le point éclair est égal ou supérieur à 23 °C ou dont le point d'ébullition est égal ou supérieur à 35 °C; </w:t>
      </w:r>
    </w:p>
    <w:p w:rsidR="009B4B7D" w:rsidRDefault="009B4B7D" w:rsidP="00C304F1">
      <w:pPr>
        <w:ind w:left="1571"/>
        <w:rPr>
          <w:rFonts w:ascii="Arial" w:hAnsi="Arial" w:cs="Arial"/>
          <w:i/>
        </w:rPr>
      </w:pPr>
      <w:r w:rsidRPr="00824088">
        <w:rPr>
          <w:rFonts w:ascii="Arial" w:hAnsi="Arial" w:cs="Arial"/>
          <w:i/>
          <w:highlight w:val="yellow"/>
        </w:rPr>
        <w:t>b) les substances figurant à la colonne 1 de la partie 2 de l'annexe 1 qui sont à l'état liquide ou gazeux, qui sont présentes dans un mélange et dont la pression partielle est égale ou</w:t>
      </w:r>
      <w:r w:rsidR="0087282B">
        <w:rPr>
          <w:rFonts w:ascii="Arial" w:hAnsi="Arial" w:cs="Arial"/>
          <w:i/>
          <w:highlight w:val="yellow"/>
        </w:rPr>
        <w:t xml:space="preserve"> inférieure à 10 mm de mercure</w:t>
      </w:r>
      <w:r w:rsidRPr="00824088">
        <w:rPr>
          <w:rFonts w:ascii="Arial" w:hAnsi="Arial" w:cs="Arial"/>
          <w:i/>
          <w:highlight w:val="yellow"/>
        </w:rPr>
        <w:t>.</w:t>
      </w:r>
    </w:p>
    <w:p w:rsidR="00736692" w:rsidRDefault="00A05048" w:rsidP="00C304F1">
      <w:pPr>
        <w:ind w:left="1844"/>
      </w:pPr>
      <w:r>
        <w:rPr>
          <w:rFonts w:ascii="Arial" w:hAnsi="Arial" w:cs="Arial"/>
        </w:rPr>
        <w:t xml:space="preserve">Prenons l’exemple de </w:t>
      </w:r>
      <w:r w:rsidR="00603858">
        <w:rPr>
          <w:rFonts w:ascii="Arial" w:hAnsi="Arial" w:cs="Arial"/>
        </w:rPr>
        <w:t xml:space="preserve">l’acide </w:t>
      </w:r>
      <w:r>
        <w:rPr>
          <w:rFonts w:ascii="Arial" w:hAnsi="Arial" w:cs="Arial"/>
        </w:rPr>
        <w:t xml:space="preserve">chlorhydrique. À une </w:t>
      </w:r>
      <w:r w:rsidR="00FC77AC">
        <w:rPr>
          <w:rFonts w:ascii="Arial" w:hAnsi="Arial" w:cs="Arial"/>
        </w:rPr>
        <w:t>concentration</w:t>
      </w:r>
      <w:r>
        <w:rPr>
          <w:rFonts w:ascii="Arial" w:hAnsi="Arial" w:cs="Arial"/>
        </w:rPr>
        <w:t xml:space="preserve"> de 30% (celle utilisée dans le RUE jusqu’à présent), la pression est de </w:t>
      </w:r>
      <w:r w:rsidR="00FC77AC">
        <w:rPr>
          <w:rFonts w:ascii="Arial" w:hAnsi="Arial" w:cs="Arial"/>
        </w:rPr>
        <w:t xml:space="preserve">10,598 mm Hg (ALOHA) à </w:t>
      </w:r>
      <w:r w:rsidR="00603858">
        <w:rPr>
          <w:rFonts w:ascii="Arial" w:hAnsi="Arial" w:cs="Arial"/>
        </w:rPr>
        <w:t>20</w:t>
      </w:r>
      <w:r w:rsidR="00CA37B3" w:rsidRPr="00CA37B3">
        <w:rPr>
          <w:rFonts w:ascii="Arial" w:hAnsi="Arial" w:cs="Arial"/>
          <w:vertAlign w:val="superscript"/>
        </w:rPr>
        <w:t>o</w:t>
      </w:r>
      <w:r w:rsidR="00FC77AC">
        <w:rPr>
          <w:rFonts w:ascii="Arial" w:hAnsi="Arial" w:cs="Arial"/>
        </w:rPr>
        <w:t>C alors qu’elle n’est que de 4.9</w:t>
      </w:r>
      <w:r w:rsidR="00603858" w:rsidRPr="00603858">
        <w:t xml:space="preserve"> </w:t>
      </w:r>
      <w:r w:rsidR="00603858" w:rsidRPr="00603858">
        <w:rPr>
          <w:rFonts w:ascii="Arial" w:hAnsi="Arial" w:cs="Arial"/>
        </w:rPr>
        <w:t>mm Hg</w:t>
      </w:r>
      <w:r w:rsidR="00FC77AC">
        <w:rPr>
          <w:rFonts w:ascii="Arial" w:hAnsi="Arial" w:cs="Arial"/>
        </w:rPr>
        <w:t xml:space="preserve"> pour une </w:t>
      </w:r>
      <w:r w:rsidR="00824088">
        <w:rPr>
          <w:rFonts w:ascii="Arial" w:hAnsi="Arial" w:cs="Arial"/>
        </w:rPr>
        <w:t>concentration</w:t>
      </w:r>
      <w:r w:rsidR="00FC77AC">
        <w:rPr>
          <w:rFonts w:ascii="Arial" w:hAnsi="Arial" w:cs="Arial"/>
        </w:rPr>
        <w:t xml:space="preserve"> de 28%.</w:t>
      </w:r>
      <w:r w:rsidR="005E7213">
        <w:t xml:space="preserve"> </w:t>
      </w:r>
    </w:p>
    <w:p w:rsidR="00C304F1" w:rsidRDefault="00C304F1" w:rsidP="00C304F1">
      <w:pPr>
        <w:ind w:left="1844"/>
      </w:pPr>
    </w:p>
    <w:p w:rsidR="003D070E" w:rsidRDefault="0033760A" w:rsidP="00C304F1">
      <w:pPr>
        <w:pStyle w:val="ListParagraph"/>
        <w:keepNext/>
        <w:numPr>
          <w:ilvl w:val="0"/>
          <w:numId w:val="35"/>
        </w:numPr>
        <w:ind w:left="1208" w:hanging="357"/>
      </w:pPr>
      <w:r>
        <w:t>Les quantités de certaines substances toxiques sont trop élevées :</w:t>
      </w:r>
    </w:p>
    <w:p w:rsidR="00673CCD" w:rsidRDefault="0033760A" w:rsidP="0033760A">
      <w:pPr>
        <w:pStyle w:val="ListParagraph"/>
        <w:ind w:left="1211"/>
      </w:pPr>
      <w:r>
        <w:rPr>
          <w:b/>
        </w:rPr>
        <w:t>R</w:t>
      </w:r>
      <w:r w:rsidRPr="00E260CC">
        <w:rPr>
          <w:b/>
        </w:rPr>
        <w:t>ECOMMAND</w:t>
      </w:r>
      <w:r>
        <w:rPr>
          <w:b/>
        </w:rPr>
        <w:t>ATION :</w:t>
      </w:r>
      <w:r w:rsidR="00673CCD">
        <w:t xml:space="preserve"> les quantités seuils des substances toxiques suivantes soient abaissées :</w:t>
      </w:r>
    </w:p>
    <w:p w:rsidR="00673CCD" w:rsidRPr="00357A7D" w:rsidRDefault="00673CCD" w:rsidP="0033760A">
      <w:pPr>
        <w:pStyle w:val="ListParagraph"/>
        <w:numPr>
          <w:ilvl w:val="2"/>
          <w:numId w:val="11"/>
        </w:numPr>
      </w:pPr>
      <w:r>
        <w:t>Le chlore </w:t>
      </w:r>
    </w:p>
    <w:p w:rsidR="00673CCD" w:rsidRDefault="00673CCD" w:rsidP="0033760A">
      <w:pPr>
        <w:pStyle w:val="ListParagraph"/>
        <w:numPr>
          <w:ilvl w:val="2"/>
          <w:numId w:val="11"/>
        </w:numPr>
      </w:pPr>
      <w:r>
        <w:t>L’ammoniac</w:t>
      </w:r>
    </w:p>
    <w:p w:rsidR="00673CCD" w:rsidRPr="0052148D" w:rsidRDefault="0033760A" w:rsidP="0033760A">
      <w:pPr>
        <w:pStyle w:val="ListParagraph"/>
        <w:numPr>
          <w:ilvl w:val="2"/>
          <w:numId w:val="11"/>
        </w:numPr>
      </w:pPr>
      <w:r>
        <w:t>Et l</w:t>
      </w:r>
      <w:r w:rsidR="00673CCD" w:rsidRPr="0052148D">
        <w:t xml:space="preserve">es substances mentionnées </w:t>
      </w:r>
      <w:r>
        <w:t xml:space="preserve">dans le tableau suivant provenant de </w:t>
      </w:r>
      <w:r w:rsidR="00673CCD" w:rsidRPr="0052148D">
        <w:t>l’étude d</w:t>
      </w:r>
      <w:r w:rsidR="00673CCD">
        <w:t>’</w:t>
      </w:r>
      <w:r w:rsidR="00673CCD" w:rsidRPr="0052148D">
        <w:t xml:space="preserve">Environnement Canada de 2010 : référence : </w:t>
      </w:r>
      <w:r w:rsidR="00673CCD" w:rsidRPr="008F4C17">
        <w:rPr>
          <w:i/>
        </w:rPr>
        <w:t>Comparison of Threshold Quantities for Substances with Final AEGL -2 and IDLH Values under CEPA’s Environmental Emergency Regulations</w:t>
      </w:r>
      <w:r w:rsidR="00673CCD" w:rsidRPr="0052148D">
        <w:t>, Kerry Ketcheson, John Shrives, Environmental Emergencies Division, Environment Canada.</w:t>
      </w:r>
    </w:p>
    <w:p w:rsidR="00673CCD" w:rsidRPr="0033760A" w:rsidRDefault="00673CCD" w:rsidP="00673CCD">
      <w:pPr>
        <w:pStyle w:val="Caption"/>
        <w:keepNext/>
        <w:ind w:left="142"/>
        <w:rPr>
          <w:rFonts w:ascii="Arial" w:hAnsi="Arial" w:cs="Arial"/>
          <w:color w:val="auto"/>
          <w:sz w:val="24"/>
          <w:lang w:val="en-CA"/>
        </w:rPr>
      </w:pPr>
      <w:r w:rsidRPr="0033760A">
        <w:rPr>
          <w:rFonts w:ascii="Arial" w:hAnsi="Arial" w:cs="Arial"/>
          <w:color w:val="auto"/>
          <w:sz w:val="24"/>
          <w:lang w:val="en-CA"/>
        </w:rPr>
        <w:t xml:space="preserve">Tableau </w:t>
      </w:r>
      <w:r w:rsidR="00365B78" w:rsidRPr="0033760A">
        <w:rPr>
          <w:rFonts w:ascii="Arial" w:hAnsi="Arial" w:cs="Arial"/>
          <w:color w:val="auto"/>
          <w:sz w:val="24"/>
        </w:rPr>
        <w:fldChar w:fldCharType="begin"/>
      </w:r>
      <w:r w:rsidRPr="0033760A">
        <w:rPr>
          <w:rFonts w:ascii="Arial" w:hAnsi="Arial" w:cs="Arial"/>
          <w:color w:val="auto"/>
          <w:sz w:val="24"/>
          <w:lang w:val="en-CA"/>
        </w:rPr>
        <w:instrText xml:space="preserve"> SEQ Tableau \* ARABIC </w:instrText>
      </w:r>
      <w:r w:rsidR="00365B78" w:rsidRPr="0033760A">
        <w:rPr>
          <w:rFonts w:ascii="Arial" w:hAnsi="Arial" w:cs="Arial"/>
          <w:color w:val="auto"/>
          <w:sz w:val="24"/>
        </w:rPr>
        <w:fldChar w:fldCharType="separate"/>
      </w:r>
      <w:r w:rsidRPr="0033760A">
        <w:rPr>
          <w:rFonts w:ascii="Arial" w:hAnsi="Arial" w:cs="Arial"/>
          <w:noProof/>
          <w:color w:val="auto"/>
          <w:sz w:val="24"/>
          <w:lang w:val="en-CA"/>
        </w:rPr>
        <w:t>1</w:t>
      </w:r>
      <w:r w:rsidR="00365B78" w:rsidRPr="0033760A">
        <w:rPr>
          <w:rFonts w:ascii="Arial" w:hAnsi="Arial" w:cs="Arial"/>
          <w:color w:val="auto"/>
          <w:sz w:val="24"/>
        </w:rPr>
        <w:fldChar w:fldCharType="end"/>
      </w:r>
      <w:r w:rsidRPr="0033760A">
        <w:rPr>
          <w:rFonts w:ascii="Arial" w:hAnsi="Arial" w:cs="Arial"/>
          <w:color w:val="auto"/>
          <w:sz w:val="24"/>
          <w:lang w:val="en-CA"/>
        </w:rPr>
        <w:t xml:space="preserve"> - Calculated Threshold Quantities for AEGL – 2 and IDLH Values</w:t>
      </w:r>
    </w:p>
    <w:tbl>
      <w:tblPr>
        <w:tblW w:w="8270" w:type="dxa"/>
        <w:jc w:val="center"/>
        <w:tblInd w:w="182" w:type="dxa"/>
        <w:tblLayout w:type="fixed"/>
        <w:tblLook w:val="0000" w:firstRow="0" w:lastRow="0" w:firstColumn="0" w:lastColumn="0" w:noHBand="0" w:noVBand="0"/>
      </w:tblPr>
      <w:tblGrid>
        <w:gridCol w:w="394"/>
        <w:gridCol w:w="1264"/>
        <w:gridCol w:w="1904"/>
        <w:gridCol w:w="1195"/>
        <w:gridCol w:w="1195"/>
        <w:gridCol w:w="1196"/>
        <w:gridCol w:w="1122"/>
      </w:tblGrid>
      <w:tr w:rsidR="00673CCD" w:rsidRPr="009612E9" w:rsidTr="008F4B8D">
        <w:trPr>
          <w:trHeight w:val="447"/>
          <w:jc w:val="center"/>
        </w:trPr>
        <w:tc>
          <w:tcPr>
            <w:tcW w:w="394" w:type="dxa"/>
            <w:tcBorders>
              <w:top w:val="nil"/>
              <w:left w:val="nil"/>
              <w:bottom w:val="nil"/>
              <w:right w:val="nil"/>
            </w:tcBorders>
            <w:shd w:val="clear" w:color="auto" w:fill="auto"/>
            <w:noWrap/>
            <w:vAlign w:val="center"/>
          </w:tcPr>
          <w:p w:rsidR="00673CCD" w:rsidRPr="00E260CC" w:rsidRDefault="00673CCD" w:rsidP="008F4B8D">
            <w:pPr>
              <w:spacing w:after="0"/>
              <w:jc w:val="center"/>
              <w:rPr>
                <w:rFonts w:ascii="Arial" w:eastAsia="Calibri" w:hAnsi="Arial" w:cs="Arial"/>
                <w:sz w:val="16"/>
                <w:szCs w:val="16"/>
                <w:lang w:val="en-CA"/>
              </w:rPr>
            </w:pPr>
          </w:p>
        </w:tc>
        <w:tc>
          <w:tcPr>
            <w:tcW w:w="1264" w:type="dxa"/>
            <w:tcBorders>
              <w:top w:val="nil"/>
              <w:left w:val="nil"/>
              <w:bottom w:val="nil"/>
              <w:right w:val="nil"/>
            </w:tcBorders>
            <w:shd w:val="clear" w:color="auto" w:fill="auto"/>
            <w:noWrap/>
            <w:vAlign w:val="center"/>
          </w:tcPr>
          <w:p w:rsidR="00673CCD" w:rsidRPr="00E260CC" w:rsidRDefault="00673CCD" w:rsidP="008F4B8D">
            <w:pPr>
              <w:spacing w:after="0"/>
              <w:jc w:val="center"/>
              <w:rPr>
                <w:rFonts w:ascii="Arial" w:eastAsia="Calibri" w:hAnsi="Arial" w:cs="Arial"/>
                <w:sz w:val="16"/>
                <w:szCs w:val="16"/>
                <w:lang w:val="en-CA"/>
              </w:rPr>
            </w:pPr>
          </w:p>
        </w:tc>
        <w:tc>
          <w:tcPr>
            <w:tcW w:w="1904" w:type="dxa"/>
            <w:tcBorders>
              <w:top w:val="nil"/>
              <w:left w:val="nil"/>
              <w:bottom w:val="nil"/>
              <w:right w:val="nil"/>
            </w:tcBorders>
            <w:shd w:val="clear" w:color="auto" w:fill="auto"/>
            <w:noWrap/>
            <w:vAlign w:val="center"/>
          </w:tcPr>
          <w:p w:rsidR="00673CCD" w:rsidRPr="00E260CC" w:rsidRDefault="00673CCD" w:rsidP="008F4B8D">
            <w:pPr>
              <w:spacing w:after="0"/>
              <w:jc w:val="center"/>
              <w:rPr>
                <w:rFonts w:ascii="Arial" w:eastAsia="Calibri" w:hAnsi="Arial" w:cs="Arial"/>
                <w:sz w:val="16"/>
                <w:szCs w:val="16"/>
                <w:lang w:val="en-CA"/>
              </w:rPr>
            </w:pPr>
          </w:p>
        </w:tc>
        <w:tc>
          <w:tcPr>
            <w:tcW w:w="1195" w:type="dxa"/>
            <w:tcBorders>
              <w:top w:val="nil"/>
              <w:left w:val="nil"/>
              <w:bottom w:val="nil"/>
              <w:right w:val="nil"/>
            </w:tcBorders>
            <w:shd w:val="clear" w:color="auto" w:fill="auto"/>
            <w:noWrap/>
            <w:vAlign w:val="center"/>
          </w:tcPr>
          <w:p w:rsidR="00673CCD" w:rsidRPr="00E260CC" w:rsidRDefault="00673CCD" w:rsidP="008F4B8D">
            <w:pPr>
              <w:spacing w:after="0"/>
              <w:jc w:val="center"/>
              <w:rPr>
                <w:rFonts w:ascii="Arial" w:eastAsia="Calibri" w:hAnsi="Arial" w:cs="Arial"/>
                <w:sz w:val="16"/>
                <w:szCs w:val="16"/>
                <w:lang w:val="en-CA"/>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673CCD" w:rsidRPr="00E260CC" w:rsidRDefault="00673CCD" w:rsidP="008F4B8D">
            <w:pPr>
              <w:spacing w:after="0"/>
              <w:jc w:val="center"/>
              <w:rPr>
                <w:rFonts w:ascii="Arial" w:eastAsia="Calibri" w:hAnsi="Arial" w:cs="Arial"/>
                <w:b/>
                <w:bCs/>
                <w:sz w:val="16"/>
                <w:szCs w:val="16"/>
              </w:rPr>
            </w:pPr>
            <w:r w:rsidRPr="00E260CC">
              <w:rPr>
                <w:rFonts w:ascii="Arial" w:eastAsia="Calibri" w:hAnsi="Arial" w:cs="Arial"/>
                <w:b/>
                <w:bCs/>
                <w:sz w:val="16"/>
                <w:szCs w:val="16"/>
              </w:rPr>
              <w:t>Current IDLH</w:t>
            </w:r>
          </w:p>
        </w:tc>
        <w:tc>
          <w:tcPr>
            <w:tcW w:w="1196" w:type="dxa"/>
            <w:tcBorders>
              <w:top w:val="single" w:sz="4" w:space="0" w:color="auto"/>
              <w:left w:val="nil"/>
              <w:bottom w:val="single" w:sz="4" w:space="0" w:color="auto"/>
              <w:right w:val="single" w:sz="4" w:space="0" w:color="auto"/>
            </w:tcBorders>
            <w:shd w:val="clear" w:color="auto" w:fill="auto"/>
            <w:vAlign w:val="center"/>
          </w:tcPr>
          <w:p w:rsidR="00673CCD" w:rsidRPr="00E260CC" w:rsidRDefault="00673CCD" w:rsidP="008F4B8D">
            <w:pPr>
              <w:spacing w:after="0"/>
              <w:jc w:val="center"/>
              <w:rPr>
                <w:rFonts w:ascii="Arial" w:eastAsia="Calibri" w:hAnsi="Arial" w:cs="Arial"/>
                <w:b/>
                <w:bCs/>
                <w:sz w:val="16"/>
                <w:szCs w:val="16"/>
              </w:rPr>
            </w:pPr>
            <w:r>
              <w:rPr>
                <w:rFonts w:ascii="Arial" w:eastAsia="Calibri" w:hAnsi="Arial" w:cs="Arial"/>
                <w:b/>
                <w:bCs/>
                <w:sz w:val="16"/>
                <w:szCs w:val="16"/>
              </w:rPr>
              <w:t>Final AEGL</w:t>
            </w:r>
            <w:r>
              <w:rPr>
                <w:rFonts w:ascii="Arial" w:eastAsia="Calibri" w:hAnsi="Arial" w:cs="Arial"/>
                <w:b/>
                <w:bCs/>
                <w:sz w:val="16"/>
                <w:szCs w:val="16"/>
              </w:rPr>
              <w:noBreakHyphen/>
            </w:r>
            <w:r w:rsidRPr="00E260CC">
              <w:rPr>
                <w:rFonts w:ascii="Arial" w:eastAsia="Calibri" w:hAnsi="Arial" w:cs="Arial"/>
                <w:b/>
                <w:bCs/>
                <w:sz w:val="16"/>
                <w:szCs w:val="16"/>
              </w:rPr>
              <w:t>2</w:t>
            </w:r>
          </w:p>
        </w:tc>
        <w:tc>
          <w:tcPr>
            <w:tcW w:w="1122" w:type="dxa"/>
            <w:tcBorders>
              <w:top w:val="nil"/>
              <w:left w:val="nil"/>
              <w:bottom w:val="nil"/>
              <w:right w:val="nil"/>
            </w:tcBorders>
            <w:shd w:val="clear" w:color="auto" w:fill="auto"/>
            <w:noWrap/>
            <w:vAlign w:val="center"/>
          </w:tcPr>
          <w:p w:rsidR="00673CCD" w:rsidRPr="00E260CC" w:rsidRDefault="00673CCD" w:rsidP="008F4B8D">
            <w:pPr>
              <w:spacing w:after="0"/>
              <w:jc w:val="center"/>
              <w:rPr>
                <w:rFonts w:ascii="Arial" w:eastAsia="Calibri" w:hAnsi="Arial" w:cs="Arial"/>
                <w:sz w:val="16"/>
                <w:szCs w:val="16"/>
              </w:rPr>
            </w:pPr>
          </w:p>
        </w:tc>
      </w:tr>
      <w:tr w:rsidR="00673CCD" w:rsidRPr="009612E9" w:rsidTr="008F4B8D">
        <w:trPr>
          <w:trHeight w:val="1117"/>
          <w:jc w:val="center"/>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673CCD" w:rsidRPr="00E260CC" w:rsidRDefault="00673CCD" w:rsidP="008F4B8D">
            <w:pPr>
              <w:spacing w:after="0"/>
              <w:jc w:val="center"/>
              <w:rPr>
                <w:rFonts w:ascii="Arial" w:eastAsia="Calibri" w:hAnsi="Arial" w:cs="Arial"/>
                <w:b/>
                <w:bCs/>
                <w:sz w:val="16"/>
                <w:szCs w:val="16"/>
              </w:rPr>
            </w:pPr>
            <w:r w:rsidRPr="00E260CC">
              <w:rPr>
                <w:rFonts w:ascii="Arial" w:eastAsia="Calibri" w:hAnsi="Arial" w:cs="Arial"/>
                <w:b/>
                <w:bCs/>
                <w:sz w:val="16"/>
                <w:szCs w:val="16"/>
              </w:rPr>
              <w:t>#</w:t>
            </w:r>
          </w:p>
        </w:tc>
        <w:tc>
          <w:tcPr>
            <w:tcW w:w="1264" w:type="dxa"/>
            <w:tcBorders>
              <w:top w:val="single" w:sz="4" w:space="0" w:color="auto"/>
              <w:left w:val="nil"/>
              <w:bottom w:val="single" w:sz="4" w:space="0" w:color="auto"/>
              <w:right w:val="single" w:sz="4" w:space="0" w:color="auto"/>
            </w:tcBorders>
            <w:shd w:val="clear" w:color="auto" w:fill="auto"/>
            <w:vAlign w:val="center"/>
          </w:tcPr>
          <w:p w:rsidR="00673CCD" w:rsidRPr="00E260CC" w:rsidRDefault="00673CCD" w:rsidP="008F4B8D">
            <w:pPr>
              <w:spacing w:after="0"/>
              <w:jc w:val="center"/>
              <w:rPr>
                <w:rFonts w:ascii="Arial" w:eastAsia="Calibri" w:hAnsi="Arial" w:cs="Arial"/>
                <w:b/>
                <w:bCs/>
                <w:sz w:val="16"/>
                <w:szCs w:val="16"/>
              </w:rPr>
            </w:pPr>
            <w:r w:rsidRPr="00E260CC">
              <w:rPr>
                <w:rFonts w:ascii="Arial" w:eastAsia="Calibri" w:hAnsi="Arial" w:cs="Arial"/>
                <w:b/>
                <w:bCs/>
                <w:sz w:val="16"/>
                <w:szCs w:val="16"/>
              </w:rPr>
              <w:t>CAS Number</w:t>
            </w:r>
          </w:p>
        </w:tc>
        <w:tc>
          <w:tcPr>
            <w:tcW w:w="1904" w:type="dxa"/>
            <w:tcBorders>
              <w:top w:val="single" w:sz="4" w:space="0" w:color="auto"/>
              <w:left w:val="nil"/>
              <w:bottom w:val="single" w:sz="4" w:space="0" w:color="auto"/>
              <w:right w:val="single" w:sz="4" w:space="0" w:color="auto"/>
            </w:tcBorders>
            <w:shd w:val="clear" w:color="auto" w:fill="auto"/>
            <w:vAlign w:val="center"/>
          </w:tcPr>
          <w:p w:rsidR="00673CCD" w:rsidRPr="00E260CC" w:rsidRDefault="00673CCD" w:rsidP="008F4B8D">
            <w:pPr>
              <w:spacing w:after="0"/>
              <w:jc w:val="center"/>
              <w:rPr>
                <w:rFonts w:ascii="Arial" w:eastAsia="Calibri" w:hAnsi="Arial" w:cs="Arial"/>
                <w:b/>
                <w:bCs/>
                <w:sz w:val="16"/>
                <w:szCs w:val="16"/>
              </w:rPr>
            </w:pPr>
            <w:r w:rsidRPr="00E260CC">
              <w:rPr>
                <w:rFonts w:ascii="Arial" w:eastAsia="Calibri" w:hAnsi="Arial" w:cs="Arial"/>
                <w:b/>
                <w:bCs/>
                <w:sz w:val="16"/>
                <w:szCs w:val="16"/>
              </w:rPr>
              <w:t>Chemical Substance</w:t>
            </w:r>
          </w:p>
        </w:tc>
        <w:tc>
          <w:tcPr>
            <w:tcW w:w="1195" w:type="dxa"/>
            <w:tcBorders>
              <w:top w:val="single" w:sz="4" w:space="0" w:color="auto"/>
              <w:left w:val="nil"/>
              <w:bottom w:val="single" w:sz="4" w:space="0" w:color="auto"/>
              <w:right w:val="single" w:sz="4" w:space="0" w:color="auto"/>
            </w:tcBorders>
            <w:shd w:val="clear" w:color="auto" w:fill="auto"/>
            <w:vAlign w:val="center"/>
          </w:tcPr>
          <w:p w:rsidR="00673CCD" w:rsidRPr="00E260CC" w:rsidRDefault="00673CCD" w:rsidP="008F4B8D">
            <w:pPr>
              <w:spacing w:after="0"/>
              <w:jc w:val="center"/>
              <w:rPr>
                <w:rFonts w:ascii="Arial" w:eastAsia="Calibri" w:hAnsi="Arial" w:cs="Arial"/>
                <w:b/>
                <w:bCs/>
                <w:sz w:val="16"/>
                <w:szCs w:val="16"/>
                <w:lang w:val="en-CA"/>
              </w:rPr>
            </w:pPr>
            <w:r w:rsidRPr="00E260CC">
              <w:rPr>
                <w:rFonts w:ascii="Arial" w:eastAsia="Calibri" w:hAnsi="Arial" w:cs="Arial"/>
                <w:b/>
                <w:bCs/>
                <w:sz w:val="16"/>
                <w:szCs w:val="16"/>
                <w:lang w:val="en-CA"/>
              </w:rPr>
              <w:t>Threshold Quantity Currently in Regulation</w:t>
            </w:r>
            <w:r w:rsidRPr="00E260CC">
              <w:rPr>
                <w:rFonts w:ascii="Arial" w:eastAsia="Calibri" w:hAnsi="Arial" w:cs="Arial"/>
                <w:b/>
                <w:bCs/>
                <w:sz w:val="16"/>
                <w:szCs w:val="16"/>
                <w:lang w:val="en-CA"/>
              </w:rPr>
              <w:br/>
              <w:t>(tonnes)</w:t>
            </w:r>
          </w:p>
        </w:tc>
        <w:tc>
          <w:tcPr>
            <w:tcW w:w="1195"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after="0"/>
              <w:jc w:val="center"/>
              <w:rPr>
                <w:rFonts w:ascii="Arial" w:eastAsia="Calibri" w:hAnsi="Arial" w:cs="Arial"/>
                <w:b/>
                <w:bCs/>
                <w:sz w:val="16"/>
                <w:szCs w:val="16"/>
              </w:rPr>
            </w:pPr>
            <w:r w:rsidRPr="00E260CC">
              <w:rPr>
                <w:rFonts w:ascii="Arial" w:eastAsia="Calibri" w:hAnsi="Arial" w:cs="Arial"/>
                <w:b/>
                <w:bCs/>
                <w:sz w:val="16"/>
                <w:szCs w:val="16"/>
              </w:rPr>
              <w:t xml:space="preserve">Threshold </w:t>
            </w:r>
            <w:proofErr w:type="gramStart"/>
            <w:r w:rsidRPr="00E260CC">
              <w:rPr>
                <w:rFonts w:ascii="Arial" w:eastAsia="Calibri" w:hAnsi="Arial" w:cs="Arial"/>
                <w:b/>
                <w:bCs/>
                <w:sz w:val="16"/>
                <w:szCs w:val="16"/>
              </w:rPr>
              <w:t>Quantities</w:t>
            </w:r>
            <w:proofErr w:type="gramEnd"/>
            <w:r w:rsidRPr="00E260CC">
              <w:rPr>
                <w:rFonts w:ascii="Arial" w:eastAsia="Calibri" w:hAnsi="Arial" w:cs="Arial"/>
                <w:b/>
                <w:bCs/>
                <w:sz w:val="16"/>
                <w:szCs w:val="16"/>
              </w:rPr>
              <w:br/>
              <w:t>(tonnes)</w:t>
            </w:r>
          </w:p>
        </w:tc>
        <w:tc>
          <w:tcPr>
            <w:tcW w:w="1196"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after="0"/>
              <w:jc w:val="center"/>
              <w:rPr>
                <w:rFonts w:ascii="Arial" w:eastAsia="Calibri" w:hAnsi="Arial" w:cs="Arial"/>
                <w:b/>
                <w:bCs/>
                <w:sz w:val="16"/>
                <w:szCs w:val="16"/>
              </w:rPr>
            </w:pPr>
            <w:r w:rsidRPr="00E260CC">
              <w:rPr>
                <w:rFonts w:ascii="Arial" w:eastAsia="Calibri" w:hAnsi="Arial" w:cs="Arial"/>
                <w:b/>
                <w:bCs/>
                <w:sz w:val="16"/>
                <w:szCs w:val="16"/>
              </w:rPr>
              <w:t xml:space="preserve">Threshold </w:t>
            </w:r>
            <w:proofErr w:type="gramStart"/>
            <w:r w:rsidRPr="00E260CC">
              <w:rPr>
                <w:rFonts w:ascii="Arial" w:eastAsia="Calibri" w:hAnsi="Arial" w:cs="Arial"/>
                <w:b/>
                <w:bCs/>
                <w:sz w:val="16"/>
                <w:szCs w:val="16"/>
              </w:rPr>
              <w:t>Quantities</w:t>
            </w:r>
            <w:proofErr w:type="gramEnd"/>
            <w:r w:rsidRPr="00E260CC">
              <w:rPr>
                <w:rFonts w:ascii="Arial" w:eastAsia="Calibri" w:hAnsi="Arial" w:cs="Arial"/>
                <w:b/>
                <w:bCs/>
                <w:sz w:val="16"/>
                <w:szCs w:val="16"/>
              </w:rPr>
              <w:br/>
              <w:t>(tonnes)</w:t>
            </w:r>
          </w:p>
        </w:tc>
        <w:tc>
          <w:tcPr>
            <w:tcW w:w="1122" w:type="dxa"/>
            <w:tcBorders>
              <w:top w:val="single" w:sz="4" w:space="0" w:color="auto"/>
              <w:left w:val="nil"/>
              <w:bottom w:val="single" w:sz="4" w:space="0" w:color="auto"/>
              <w:right w:val="single" w:sz="4" w:space="0" w:color="auto"/>
            </w:tcBorders>
            <w:shd w:val="clear" w:color="auto" w:fill="auto"/>
            <w:vAlign w:val="center"/>
          </w:tcPr>
          <w:p w:rsidR="00673CCD" w:rsidRPr="00E260CC" w:rsidRDefault="00673CCD" w:rsidP="008F4B8D">
            <w:pPr>
              <w:spacing w:after="0"/>
              <w:jc w:val="center"/>
              <w:rPr>
                <w:rFonts w:ascii="Arial" w:eastAsia="Calibri" w:hAnsi="Arial" w:cs="Arial"/>
                <w:b/>
                <w:bCs/>
                <w:sz w:val="16"/>
                <w:szCs w:val="16"/>
              </w:rPr>
            </w:pPr>
            <w:r w:rsidRPr="00E260CC">
              <w:rPr>
                <w:rFonts w:ascii="Arial" w:eastAsia="Calibri" w:hAnsi="Arial" w:cs="Arial"/>
                <w:b/>
                <w:bCs/>
                <w:sz w:val="16"/>
                <w:szCs w:val="16"/>
              </w:rPr>
              <w:t>Threshold Increase or Decrease?</w:t>
            </w:r>
          </w:p>
        </w:tc>
      </w:tr>
      <w:tr w:rsidR="00673CCD" w:rsidRPr="009612E9" w:rsidTr="008F4B8D">
        <w:trPr>
          <w:trHeight w:val="223"/>
          <w:jc w:val="center"/>
        </w:trPr>
        <w:tc>
          <w:tcPr>
            <w:tcW w:w="394" w:type="dxa"/>
            <w:tcBorders>
              <w:top w:val="nil"/>
              <w:left w:val="single" w:sz="4" w:space="0" w:color="auto"/>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1</w:t>
            </w:r>
          </w:p>
        </w:tc>
        <w:tc>
          <w:tcPr>
            <w:tcW w:w="1264"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7664-41-7</w:t>
            </w:r>
          </w:p>
        </w:tc>
        <w:tc>
          <w:tcPr>
            <w:tcW w:w="1904"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Ammonia</w:t>
            </w:r>
          </w:p>
        </w:tc>
        <w:tc>
          <w:tcPr>
            <w:tcW w:w="1195"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4.50</w:t>
            </w:r>
          </w:p>
        </w:tc>
        <w:tc>
          <w:tcPr>
            <w:tcW w:w="1195"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2.27</w:t>
            </w:r>
          </w:p>
        </w:tc>
        <w:tc>
          <w:tcPr>
            <w:tcW w:w="1196"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2.27</w:t>
            </w:r>
          </w:p>
        </w:tc>
        <w:tc>
          <w:tcPr>
            <w:tcW w:w="1122" w:type="dxa"/>
            <w:tcBorders>
              <w:top w:val="nil"/>
              <w:left w:val="nil"/>
              <w:bottom w:val="single" w:sz="4" w:space="0" w:color="auto"/>
              <w:right w:val="single" w:sz="4" w:space="0" w:color="auto"/>
            </w:tcBorders>
            <w:shd w:val="clear" w:color="auto" w:fill="auto"/>
            <w:noWrap/>
            <w:vAlign w:val="bottom"/>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Decrease</w:t>
            </w:r>
          </w:p>
        </w:tc>
      </w:tr>
      <w:tr w:rsidR="00673CCD" w:rsidRPr="009612E9" w:rsidTr="008F4B8D">
        <w:trPr>
          <w:trHeight w:val="223"/>
          <w:jc w:val="center"/>
        </w:trPr>
        <w:tc>
          <w:tcPr>
            <w:tcW w:w="394" w:type="dxa"/>
            <w:tcBorders>
              <w:top w:val="nil"/>
              <w:left w:val="single" w:sz="4" w:space="0" w:color="auto"/>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2</w:t>
            </w:r>
          </w:p>
        </w:tc>
        <w:tc>
          <w:tcPr>
            <w:tcW w:w="1264"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7784-42-1</w:t>
            </w:r>
          </w:p>
        </w:tc>
        <w:tc>
          <w:tcPr>
            <w:tcW w:w="1904"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Arsine</w:t>
            </w:r>
          </w:p>
        </w:tc>
        <w:tc>
          <w:tcPr>
            <w:tcW w:w="1195"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0.45</w:t>
            </w:r>
          </w:p>
        </w:tc>
        <w:tc>
          <w:tcPr>
            <w:tcW w:w="1195"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0.22</w:t>
            </w:r>
          </w:p>
        </w:tc>
        <w:tc>
          <w:tcPr>
            <w:tcW w:w="1196"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0.22</w:t>
            </w:r>
          </w:p>
        </w:tc>
        <w:tc>
          <w:tcPr>
            <w:tcW w:w="1122" w:type="dxa"/>
            <w:tcBorders>
              <w:top w:val="nil"/>
              <w:left w:val="nil"/>
              <w:bottom w:val="single" w:sz="4" w:space="0" w:color="auto"/>
              <w:right w:val="single" w:sz="4" w:space="0" w:color="auto"/>
            </w:tcBorders>
            <w:shd w:val="clear" w:color="auto" w:fill="auto"/>
            <w:noWrap/>
            <w:vAlign w:val="bottom"/>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Decrease</w:t>
            </w:r>
          </w:p>
        </w:tc>
      </w:tr>
      <w:tr w:rsidR="00673CCD" w:rsidRPr="009612E9" w:rsidTr="008F4B8D">
        <w:trPr>
          <w:trHeight w:val="223"/>
          <w:jc w:val="center"/>
        </w:trPr>
        <w:tc>
          <w:tcPr>
            <w:tcW w:w="394" w:type="dxa"/>
            <w:tcBorders>
              <w:top w:val="nil"/>
              <w:left w:val="single" w:sz="4" w:space="0" w:color="auto"/>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3</w:t>
            </w:r>
          </w:p>
        </w:tc>
        <w:tc>
          <w:tcPr>
            <w:tcW w:w="1264"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75-15-0</w:t>
            </w:r>
          </w:p>
        </w:tc>
        <w:tc>
          <w:tcPr>
            <w:tcW w:w="1904"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Carbon disulfide</w:t>
            </w:r>
          </w:p>
        </w:tc>
        <w:tc>
          <w:tcPr>
            <w:tcW w:w="1195"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9.10</w:t>
            </w:r>
          </w:p>
        </w:tc>
        <w:tc>
          <w:tcPr>
            <w:tcW w:w="1195"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9.10</w:t>
            </w:r>
          </w:p>
        </w:tc>
        <w:tc>
          <w:tcPr>
            <w:tcW w:w="1196"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6.80</w:t>
            </w:r>
          </w:p>
        </w:tc>
        <w:tc>
          <w:tcPr>
            <w:tcW w:w="1122" w:type="dxa"/>
            <w:tcBorders>
              <w:top w:val="nil"/>
              <w:left w:val="nil"/>
              <w:bottom w:val="single" w:sz="4" w:space="0" w:color="auto"/>
              <w:right w:val="single" w:sz="4" w:space="0" w:color="auto"/>
            </w:tcBorders>
            <w:shd w:val="clear" w:color="auto" w:fill="auto"/>
            <w:noWrap/>
            <w:vAlign w:val="bottom"/>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Decrease</w:t>
            </w:r>
          </w:p>
        </w:tc>
      </w:tr>
      <w:tr w:rsidR="00673CCD" w:rsidRPr="009612E9" w:rsidTr="008F4B8D">
        <w:trPr>
          <w:trHeight w:val="223"/>
          <w:jc w:val="center"/>
        </w:trPr>
        <w:tc>
          <w:tcPr>
            <w:tcW w:w="394" w:type="dxa"/>
            <w:tcBorders>
              <w:top w:val="nil"/>
              <w:left w:val="single" w:sz="4" w:space="0" w:color="auto"/>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4</w:t>
            </w:r>
          </w:p>
        </w:tc>
        <w:tc>
          <w:tcPr>
            <w:tcW w:w="1264"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7782-50-5</w:t>
            </w:r>
          </w:p>
        </w:tc>
        <w:tc>
          <w:tcPr>
            <w:tcW w:w="1904"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Chlorine</w:t>
            </w:r>
          </w:p>
        </w:tc>
        <w:tc>
          <w:tcPr>
            <w:tcW w:w="1195"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1.13</w:t>
            </w:r>
          </w:p>
        </w:tc>
        <w:tc>
          <w:tcPr>
            <w:tcW w:w="1195"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0.45</w:t>
            </w:r>
          </w:p>
        </w:tc>
        <w:tc>
          <w:tcPr>
            <w:tcW w:w="1196"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0.22</w:t>
            </w:r>
          </w:p>
        </w:tc>
        <w:tc>
          <w:tcPr>
            <w:tcW w:w="1122" w:type="dxa"/>
            <w:tcBorders>
              <w:top w:val="nil"/>
              <w:left w:val="nil"/>
              <w:bottom w:val="single" w:sz="4" w:space="0" w:color="auto"/>
              <w:right w:val="single" w:sz="4" w:space="0" w:color="auto"/>
            </w:tcBorders>
            <w:shd w:val="clear" w:color="auto" w:fill="auto"/>
            <w:noWrap/>
            <w:vAlign w:val="bottom"/>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Decrease</w:t>
            </w:r>
          </w:p>
        </w:tc>
      </w:tr>
      <w:tr w:rsidR="00673CCD" w:rsidRPr="009612E9" w:rsidTr="008F4B8D">
        <w:trPr>
          <w:trHeight w:val="223"/>
          <w:jc w:val="center"/>
        </w:trPr>
        <w:tc>
          <w:tcPr>
            <w:tcW w:w="394" w:type="dxa"/>
            <w:tcBorders>
              <w:top w:val="nil"/>
              <w:left w:val="single" w:sz="4" w:space="0" w:color="auto"/>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5</w:t>
            </w:r>
          </w:p>
        </w:tc>
        <w:tc>
          <w:tcPr>
            <w:tcW w:w="1264"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10049-04-4</w:t>
            </w:r>
          </w:p>
        </w:tc>
        <w:tc>
          <w:tcPr>
            <w:tcW w:w="1904"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Chlorine dioxide</w:t>
            </w:r>
          </w:p>
        </w:tc>
        <w:tc>
          <w:tcPr>
            <w:tcW w:w="1195"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0.45</w:t>
            </w:r>
          </w:p>
        </w:tc>
        <w:tc>
          <w:tcPr>
            <w:tcW w:w="1195"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0.45</w:t>
            </w:r>
          </w:p>
        </w:tc>
        <w:tc>
          <w:tcPr>
            <w:tcW w:w="1196"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0.22</w:t>
            </w:r>
          </w:p>
        </w:tc>
        <w:tc>
          <w:tcPr>
            <w:tcW w:w="1122" w:type="dxa"/>
            <w:tcBorders>
              <w:top w:val="nil"/>
              <w:left w:val="nil"/>
              <w:bottom w:val="single" w:sz="4" w:space="0" w:color="auto"/>
              <w:right w:val="single" w:sz="4" w:space="0" w:color="auto"/>
            </w:tcBorders>
            <w:shd w:val="clear" w:color="auto" w:fill="auto"/>
            <w:noWrap/>
            <w:vAlign w:val="bottom"/>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Decrease</w:t>
            </w:r>
          </w:p>
        </w:tc>
      </w:tr>
      <w:tr w:rsidR="00673CCD" w:rsidRPr="009612E9" w:rsidTr="008F4B8D">
        <w:trPr>
          <w:trHeight w:val="223"/>
          <w:jc w:val="center"/>
        </w:trPr>
        <w:tc>
          <w:tcPr>
            <w:tcW w:w="394" w:type="dxa"/>
            <w:tcBorders>
              <w:top w:val="nil"/>
              <w:left w:val="single" w:sz="4" w:space="0" w:color="auto"/>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6</w:t>
            </w:r>
          </w:p>
        </w:tc>
        <w:tc>
          <w:tcPr>
            <w:tcW w:w="1264"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4170-30-3</w:t>
            </w:r>
          </w:p>
        </w:tc>
        <w:tc>
          <w:tcPr>
            <w:tcW w:w="1904"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cis-Crotonaldehyde</w:t>
            </w:r>
          </w:p>
        </w:tc>
        <w:tc>
          <w:tcPr>
            <w:tcW w:w="1195"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9.10</w:t>
            </w:r>
          </w:p>
        </w:tc>
        <w:tc>
          <w:tcPr>
            <w:tcW w:w="1195"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6.80</w:t>
            </w:r>
          </w:p>
        </w:tc>
        <w:tc>
          <w:tcPr>
            <w:tcW w:w="1196"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4.50</w:t>
            </w:r>
          </w:p>
        </w:tc>
        <w:tc>
          <w:tcPr>
            <w:tcW w:w="1122" w:type="dxa"/>
            <w:tcBorders>
              <w:top w:val="nil"/>
              <w:left w:val="nil"/>
              <w:bottom w:val="single" w:sz="4" w:space="0" w:color="auto"/>
              <w:right w:val="single" w:sz="4" w:space="0" w:color="auto"/>
            </w:tcBorders>
            <w:shd w:val="clear" w:color="auto" w:fill="auto"/>
            <w:noWrap/>
            <w:vAlign w:val="bottom"/>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Decrease</w:t>
            </w:r>
          </w:p>
        </w:tc>
      </w:tr>
      <w:tr w:rsidR="00673CCD" w:rsidRPr="009612E9" w:rsidTr="008F4B8D">
        <w:trPr>
          <w:trHeight w:val="223"/>
          <w:jc w:val="center"/>
        </w:trPr>
        <w:tc>
          <w:tcPr>
            <w:tcW w:w="394" w:type="dxa"/>
            <w:tcBorders>
              <w:top w:val="nil"/>
              <w:left w:val="single" w:sz="4" w:space="0" w:color="auto"/>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7</w:t>
            </w:r>
          </w:p>
        </w:tc>
        <w:tc>
          <w:tcPr>
            <w:tcW w:w="1264"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123-73-9</w:t>
            </w:r>
          </w:p>
        </w:tc>
        <w:tc>
          <w:tcPr>
            <w:tcW w:w="1904"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trans-Crotonaldehyde</w:t>
            </w:r>
          </w:p>
        </w:tc>
        <w:tc>
          <w:tcPr>
            <w:tcW w:w="1195"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9.10</w:t>
            </w:r>
          </w:p>
        </w:tc>
        <w:tc>
          <w:tcPr>
            <w:tcW w:w="1195"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6.80</w:t>
            </w:r>
          </w:p>
        </w:tc>
        <w:tc>
          <w:tcPr>
            <w:tcW w:w="1196"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4.50</w:t>
            </w:r>
          </w:p>
        </w:tc>
        <w:tc>
          <w:tcPr>
            <w:tcW w:w="1122" w:type="dxa"/>
            <w:tcBorders>
              <w:top w:val="nil"/>
              <w:left w:val="nil"/>
              <w:bottom w:val="single" w:sz="4" w:space="0" w:color="auto"/>
              <w:right w:val="single" w:sz="4" w:space="0" w:color="auto"/>
            </w:tcBorders>
            <w:shd w:val="clear" w:color="auto" w:fill="auto"/>
            <w:noWrap/>
            <w:vAlign w:val="bottom"/>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Decrease</w:t>
            </w:r>
          </w:p>
        </w:tc>
      </w:tr>
      <w:tr w:rsidR="00673CCD" w:rsidRPr="009612E9" w:rsidTr="008F4B8D">
        <w:trPr>
          <w:trHeight w:val="223"/>
          <w:jc w:val="center"/>
        </w:trPr>
        <w:tc>
          <w:tcPr>
            <w:tcW w:w="394" w:type="dxa"/>
            <w:tcBorders>
              <w:top w:val="nil"/>
              <w:left w:val="single" w:sz="4" w:space="0" w:color="auto"/>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8</w:t>
            </w:r>
          </w:p>
        </w:tc>
        <w:tc>
          <w:tcPr>
            <w:tcW w:w="1264"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19287-45-7</w:t>
            </w:r>
          </w:p>
        </w:tc>
        <w:tc>
          <w:tcPr>
            <w:tcW w:w="1904"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Diborane</w:t>
            </w:r>
          </w:p>
        </w:tc>
        <w:tc>
          <w:tcPr>
            <w:tcW w:w="1195"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1.13</w:t>
            </w:r>
          </w:p>
        </w:tc>
        <w:tc>
          <w:tcPr>
            <w:tcW w:w="1195"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0.45</w:t>
            </w:r>
          </w:p>
        </w:tc>
        <w:tc>
          <w:tcPr>
            <w:tcW w:w="1196"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0.22</w:t>
            </w:r>
          </w:p>
        </w:tc>
        <w:tc>
          <w:tcPr>
            <w:tcW w:w="1122" w:type="dxa"/>
            <w:tcBorders>
              <w:top w:val="nil"/>
              <w:left w:val="nil"/>
              <w:bottom w:val="single" w:sz="4" w:space="0" w:color="auto"/>
              <w:right w:val="single" w:sz="4" w:space="0" w:color="auto"/>
            </w:tcBorders>
            <w:shd w:val="clear" w:color="auto" w:fill="auto"/>
            <w:noWrap/>
            <w:vAlign w:val="bottom"/>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Decrease</w:t>
            </w:r>
          </w:p>
        </w:tc>
      </w:tr>
      <w:tr w:rsidR="00673CCD" w:rsidRPr="009612E9" w:rsidTr="008F4B8D">
        <w:trPr>
          <w:trHeight w:val="223"/>
          <w:jc w:val="center"/>
        </w:trPr>
        <w:tc>
          <w:tcPr>
            <w:tcW w:w="394" w:type="dxa"/>
            <w:tcBorders>
              <w:top w:val="nil"/>
              <w:left w:val="single" w:sz="4" w:space="0" w:color="auto"/>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9</w:t>
            </w:r>
          </w:p>
        </w:tc>
        <w:tc>
          <w:tcPr>
            <w:tcW w:w="1264"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107-15-3</w:t>
            </w:r>
          </w:p>
        </w:tc>
        <w:tc>
          <w:tcPr>
            <w:tcW w:w="1904"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Ethylenediamine</w:t>
            </w:r>
          </w:p>
        </w:tc>
        <w:tc>
          <w:tcPr>
            <w:tcW w:w="1195"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9.10</w:t>
            </w:r>
          </w:p>
        </w:tc>
        <w:tc>
          <w:tcPr>
            <w:tcW w:w="1195"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9.10</w:t>
            </w:r>
          </w:p>
        </w:tc>
        <w:tc>
          <w:tcPr>
            <w:tcW w:w="1196"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4.50</w:t>
            </w:r>
          </w:p>
        </w:tc>
        <w:tc>
          <w:tcPr>
            <w:tcW w:w="1122" w:type="dxa"/>
            <w:tcBorders>
              <w:top w:val="nil"/>
              <w:left w:val="nil"/>
              <w:bottom w:val="single" w:sz="4" w:space="0" w:color="auto"/>
              <w:right w:val="single" w:sz="4" w:space="0" w:color="auto"/>
            </w:tcBorders>
            <w:shd w:val="clear" w:color="auto" w:fill="auto"/>
            <w:noWrap/>
            <w:vAlign w:val="bottom"/>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Decrease</w:t>
            </w:r>
          </w:p>
        </w:tc>
      </w:tr>
      <w:tr w:rsidR="00673CCD" w:rsidRPr="009612E9" w:rsidTr="008F4B8D">
        <w:trPr>
          <w:trHeight w:val="223"/>
          <w:jc w:val="center"/>
        </w:trPr>
        <w:tc>
          <w:tcPr>
            <w:tcW w:w="394" w:type="dxa"/>
            <w:tcBorders>
              <w:top w:val="nil"/>
              <w:left w:val="single" w:sz="4" w:space="0" w:color="auto"/>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10</w:t>
            </w:r>
          </w:p>
        </w:tc>
        <w:tc>
          <w:tcPr>
            <w:tcW w:w="1264"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7647-01-0</w:t>
            </w:r>
          </w:p>
        </w:tc>
        <w:tc>
          <w:tcPr>
            <w:tcW w:w="1904"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Hydrogen chloride</w:t>
            </w:r>
          </w:p>
        </w:tc>
        <w:tc>
          <w:tcPr>
            <w:tcW w:w="1195"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2.27</w:t>
            </w:r>
          </w:p>
        </w:tc>
        <w:tc>
          <w:tcPr>
            <w:tcW w:w="1195"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1.13</w:t>
            </w:r>
          </w:p>
        </w:tc>
        <w:tc>
          <w:tcPr>
            <w:tcW w:w="1196"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1.13</w:t>
            </w:r>
          </w:p>
        </w:tc>
        <w:tc>
          <w:tcPr>
            <w:tcW w:w="1122" w:type="dxa"/>
            <w:tcBorders>
              <w:top w:val="nil"/>
              <w:left w:val="nil"/>
              <w:bottom w:val="single" w:sz="4" w:space="0" w:color="auto"/>
              <w:right w:val="single" w:sz="4" w:space="0" w:color="auto"/>
            </w:tcBorders>
            <w:shd w:val="clear" w:color="auto" w:fill="auto"/>
            <w:noWrap/>
            <w:vAlign w:val="bottom"/>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Decrease</w:t>
            </w:r>
          </w:p>
        </w:tc>
      </w:tr>
      <w:tr w:rsidR="00673CCD" w:rsidRPr="009612E9" w:rsidTr="008F4B8D">
        <w:trPr>
          <w:trHeight w:val="223"/>
          <w:jc w:val="center"/>
        </w:trPr>
        <w:tc>
          <w:tcPr>
            <w:tcW w:w="394" w:type="dxa"/>
            <w:tcBorders>
              <w:top w:val="nil"/>
              <w:left w:val="single" w:sz="4" w:space="0" w:color="auto"/>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11</w:t>
            </w:r>
          </w:p>
        </w:tc>
        <w:tc>
          <w:tcPr>
            <w:tcW w:w="1264"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74-90-8</w:t>
            </w:r>
          </w:p>
        </w:tc>
        <w:tc>
          <w:tcPr>
            <w:tcW w:w="1904"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Hydrogen cyanide</w:t>
            </w:r>
          </w:p>
        </w:tc>
        <w:tc>
          <w:tcPr>
            <w:tcW w:w="1195"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1.13</w:t>
            </w:r>
          </w:p>
        </w:tc>
        <w:tc>
          <w:tcPr>
            <w:tcW w:w="1195"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1.13</w:t>
            </w:r>
          </w:p>
        </w:tc>
        <w:tc>
          <w:tcPr>
            <w:tcW w:w="1196"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0.45</w:t>
            </w:r>
          </w:p>
        </w:tc>
        <w:tc>
          <w:tcPr>
            <w:tcW w:w="1122" w:type="dxa"/>
            <w:tcBorders>
              <w:top w:val="nil"/>
              <w:left w:val="nil"/>
              <w:bottom w:val="single" w:sz="4" w:space="0" w:color="auto"/>
              <w:right w:val="single" w:sz="4" w:space="0" w:color="auto"/>
            </w:tcBorders>
            <w:shd w:val="clear" w:color="auto" w:fill="auto"/>
            <w:noWrap/>
            <w:vAlign w:val="bottom"/>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Decrease</w:t>
            </w:r>
          </w:p>
        </w:tc>
      </w:tr>
      <w:tr w:rsidR="00673CCD" w:rsidRPr="009612E9" w:rsidTr="008F4B8D">
        <w:trPr>
          <w:trHeight w:val="223"/>
          <w:jc w:val="center"/>
        </w:trPr>
        <w:tc>
          <w:tcPr>
            <w:tcW w:w="394" w:type="dxa"/>
            <w:tcBorders>
              <w:top w:val="nil"/>
              <w:left w:val="single" w:sz="4" w:space="0" w:color="auto"/>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12</w:t>
            </w:r>
          </w:p>
        </w:tc>
        <w:tc>
          <w:tcPr>
            <w:tcW w:w="1264"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7664-39-3</w:t>
            </w:r>
          </w:p>
        </w:tc>
        <w:tc>
          <w:tcPr>
            <w:tcW w:w="1904"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Hydrogen fluoride</w:t>
            </w:r>
          </w:p>
        </w:tc>
        <w:tc>
          <w:tcPr>
            <w:tcW w:w="1195"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0.45</w:t>
            </w:r>
          </w:p>
        </w:tc>
        <w:tc>
          <w:tcPr>
            <w:tcW w:w="1195"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0.45</w:t>
            </w:r>
          </w:p>
        </w:tc>
        <w:tc>
          <w:tcPr>
            <w:tcW w:w="1196"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0.45</w:t>
            </w:r>
          </w:p>
        </w:tc>
        <w:tc>
          <w:tcPr>
            <w:tcW w:w="1122" w:type="dxa"/>
            <w:tcBorders>
              <w:top w:val="nil"/>
              <w:left w:val="nil"/>
              <w:bottom w:val="single" w:sz="4" w:space="0" w:color="auto"/>
              <w:right w:val="single" w:sz="4" w:space="0" w:color="auto"/>
            </w:tcBorders>
            <w:shd w:val="clear" w:color="auto" w:fill="auto"/>
            <w:noWrap/>
            <w:vAlign w:val="bottom"/>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Same</w:t>
            </w:r>
          </w:p>
        </w:tc>
      </w:tr>
      <w:tr w:rsidR="00673CCD" w:rsidRPr="009612E9" w:rsidTr="008F4B8D">
        <w:trPr>
          <w:trHeight w:val="223"/>
          <w:jc w:val="center"/>
        </w:trPr>
        <w:tc>
          <w:tcPr>
            <w:tcW w:w="394" w:type="dxa"/>
            <w:tcBorders>
              <w:top w:val="nil"/>
              <w:left w:val="single" w:sz="4" w:space="0" w:color="auto"/>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13</w:t>
            </w:r>
          </w:p>
        </w:tc>
        <w:tc>
          <w:tcPr>
            <w:tcW w:w="1264"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60-34-4</w:t>
            </w:r>
          </w:p>
        </w:tc>
        <w:tc>
          <w:tcPr>
            <w:tcW w:w="1904"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Methyl hydrazine</w:t>
            </w:r>
          </w:p>
        </w:tc>
        <w:tc>
          <w:tcPr>
            <w:tcW w:w="1195"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6.80</w:t>
            </w:r>
          </w:p>
        </w:tc>
        <w:tc>
          <w:tcPr>
            <w:tcW w:w="1195"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4.50</w:t>
            </w:r>
          </w:p>
        </w:tc>
        <w:tc>
          <w:tcPr>
            <w:tcW w:w="1196"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1.13</w:t>
            </w:r>
          </w:p>
        </w:tc>
        <w:tc>
          <w:tcPr>
            <w:tcW w:w="1122" w:type="dxa"/>
            <w:tcBorders>
              <w:top w:val="nil"/>
              <w:left w:val="nil"/>
              <w:bottom w:val="single" w:sz="4" w:space="0" w:color="auto"/>
              <w:right w:val="single" w:sz="4" w:space="0" w:color="auto"/>
            </w:tcBorders>
            <w:shd w:val="clear" w:color="auto" w:fill="auto"/>
            <w:noWrap/>
            <w:vAlign w:val="bottom"/>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Decrease</w:t>
            </w:r>
          </w:p>
        </w:tc>
      </w:tr>
      <w:tr w:rsidR="00673CCD" w:rsidRPr="009612E9" w:rsidTr="008F4B8D">
        <w:trPr>
          <w:trHeight w:val="223"/>
          <w:jc w:val="center"/>
        </w:trPr>
        <w:tc>
          <w:tcPr>
            <w:tcW w:w="394" w:type="dxa"/>
            <w:tcBorders>
              <w:top w:val="nil"/>
              <w:left w:val="single" w:sz="4" w:space="0" w:color="auto"/>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14</w:t>
            </w:r>
          </w:p>
        </w:tc>
        <w:tc>
          <w:tcPr>
            <w:tcW w:w="1264"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624-83-9</w:t>
            </w:r>
          </w:p>
        </w:tc>
        <w:tc>
          <w:tcPr>
            <w:tcW w:w="1904"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Methyl isocyanate</w:t>
            </w:r>
          </w:p>
        </w:tc>
        <w:tc>
          <w:tcPr>
            <w:tcW w:w="1195"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4.50</w:t>
            </w:r>
          </w:p>
        </w:tc>
        <w:tc>
          <w:tcPr>
            <w:tcW w:w="1195"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1.13</w:t>
            </w:r>
          </w:p>
        </w:tc>
        <w:tc>
          <w:tcPr>
            <w:tcW w:w="1196"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0.22</w:t>
            </w:r>
          </w:p>
        </w:tc>
        <w:tc>
          <w:tcPr>
            <w:tcW w:w="1122" w:type="dxa"/>
            <w:tcBorders>
              <w:top w:val="nil"/>
              <w:left w:val="nil"/>
              <w:bottom w:val="single" w:sz="4" w:space="0" w:color="auto"/>
              <w:right w:val="single" w:sz="4" w:space="0" w:color="auto"/>
            </w:tcBorders>
            <w:shd w:val="clear" w:color="auto" w:fill="auto"/>
            <w:noWrap/>
            <w:vAlign w:val="bottom"/>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Decrease</w:t>
            </w:r>
          </w:p>
        </w:tc>
      </w:tr>
      <w:tr w:rsidR="00673CCD" w:rsidRPr="009612E9" w:rsidTr="008F4B8D">
        <w:trPr>
          <w:trHeight w:val="223"/>
          <w:jc w:val="center"/>
        </w:trPr>
        <w:tc>
          <w:tcPr>
            <w:tcW w:w="394" w:type="dxa"/>
            <w:tcBorders>
              <w:top w:val="nil"/>
              <w:left w:val="single" w:sz="4" w:space="0" w:color="auto"/>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15</w:t>
            </w:r>
          </w:p>
        </w:tc>
        <w:tc>
          <w:tcPr>
            <w:tcW w:w="1264"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75-44-5</w:t>
            </w:r>
          </w:p>
        </w:tc>
        <w:tc>
          <w:tcPr>
            <w:tcW w:w="1904"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Phosgene</w:t>
            </w:r>
          </w:p>
        </w:tc>
        <w:tc>
          <w:tcPr>
            <w:tcW w:w="1195"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0.22</w:t>
            </w:r>
          </w:p>
        </w:tc>
        <w:tc>
          <w:tcPr>
            <w:tcW w:w="1195"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0.22</w:t>
            </w:r>
          </w:p>
        </w:tc>
        <w:tc>
          <w:tcPr>
            <w:tcW w:w="1196"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0.22</w:t>
            </w:r>
          </w:p>
        </w:tc>
        <w:tc>
          <w:tcPr>
            <w:tcW w:w="1122" w:type="dxa"/>
            <w:tcBorders>
              <w:top w:val="nil"/>
              <w:left w:val="nil"/>
              <w:bottom w:val="single" w:sz="4" w:space="0" w:color="auto"/>
              <w:right w:val="single" w:sz="4" w:space="0" w:color="auto"/>
            </w:tcBorders>
            <w:shd w:val="clear" w:color="auto" w:fill="auto"/>
            <w:noWrap/>
            <w:vAlign w:val="bottom"/>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Same</w:t>
            </w:r>
          </w:p>
        </w:tc>
      </w:tr>
      <w:tr w:rsidR="00673CCD" w:rsidRPr="009612E9" w:rsidTr="008F4B8D">
        <w:trPr>
          <w:trHeight w:val="223"/>
          <w:jc w:val="center"/>
        </w:trPr>
        <w:tc>
          <w:tcPr>
            <w:tcW w:w="394" w:type="dxa"/>
            <w:tcBorders>
              <w:top w:val="nil"/>
              <w:left w:val="single" w:sz="4" w:space="0" w:color="auto"/>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16</w:t>
            </w:r>
          </w:p>
        </w:tc>
        <w:tc>
          <w:tcPr>
            <w:tcW w:w="1264"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7803-51-2</w:t>
            </w:r>
          </w:p>
        </w:tc>
        <w:tc>
          <w:tcPr>
            <w:tcW w:w="1904"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Phosphine</w:t>
            </w:r>
          </w:p>
        </w:tc>
        <w:tc>
          <w:tcPr>
            <w:tcW w:w="1195"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2.27</w:t>
            </w:r>
          </w:p>
        </w:tc>
        <w:tc>
          <w:tcPr>
            <w:tcW w:w="1195"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1.13</w:t>
            </w:r>
          </w:p>
        </w:tc>
        <w:tc>
          <w:tcPr>
            <w:tcW w:w="1196" w:type="dxa"/>
            <w:tcBorders>
              <w:top w:val="nil"/>
              <w:left w:val="nil"/>
              <w:bottom w:val="single" w:sz="4" w:space="0" w:color="auto"/>
              <w:right w:val="single" w:sz="4" w:space="0" w:color="auto"/>
            </w:tcBorders>
            <w:shd w:val="clear" w:color="auto" w:fill="auto"/>
            <w:vAlign w:val="center"/>
          </w:tcPr>
          <w:p w:rsidR="00673CCD" w:rsidRPr="00E260CC" w:rsidRDefault="00673CCD" w:rsidP="008F4B8D">
            <w:pPr>
              <w:spacing w:before="100" w:beforeAutospacing="1" w:after="100" w:afterAutospacing="1"/>
              <w:jc w:val="center"/>
              <w:rPr>
                <w:rFonts w:ascii="Arial" w:eastAsia="Calibri" w:hAnsi="Arial" w:cs="Arial"/>
                <w:sz w:val="16"/>
                <w:szCs w:val="16"/>
              </w:rPr>
            </w:pPr>
            <w:r w:rsidRPr="00E260CC">
              <w:rPr>
                <w:rFonts w:ascii="Arial" w:eastAsia="Calibri" w:hAnsi="Arial" w:cs="Arial"/>
                <w:sz w:val="16"/>
                <w:szCs w:val="16"/>
              </w:rPr>
              <w:t>0.22</w:t>
            </w:r>
          </w:p>
        </w:tc>
        <w:tc>
          <w:tcPr>
            <w:tcW w:w="1122" w:type="dxa"/>
            <w:tcBorders>
              <w:top w:val="nil"/>
              <w:left w:val="nil"/>
              <w:bottom w:val="single" w:sz="4" w:space="0" w:color="auto"/>
              <w:right w:val="single" w:sz="4" w:space="0" w:color="auto"/>
            </w:tcBorders>
            <w:shd w:val="clear" w:color="auto" w:fill="auto"/>
            <w:noWrap/>
            <w:vAlign w:val="bottom"/>
          </w:tcPr>
          <w:p w:rsidR="00673CCD" w:rsidRPr="00E260CC" w:rsidRDefault="00673CCD" w:rsidP="008F4B8D">
            <w:pPr>
              <w:spacing w:before="100" w:beforeAutospacing="1" w:after="100" w:afterAutospacing="1"/>
              <w:rPr>
                <w:rFonts w:ascii="Arial" w:eastAsia="Calibri" w:hAnsi="Arial" w:cs="Arial"/>
                <w:sz w:val="16"/>
                <w:szCs w:val="16"/>
              </w:rPr>
            </w:pPr>
            <w:r w:rsidRPr="00E260CC">
              <w:rPr>
                <w:rFonts w:ascii="Arial" w:eastAsia="Calibri" w:hAnsi="Arial" w:cs="Arial"/>
                <w:sz w:val="16"/>
                <w:szCs w:val="16"/>
              </w:rPr>
              <w:t>Decrease</w:t>
            </w:r>
          </w:p>
        </w:tc>
      </w:tr>
    </w:tbl>
    <w:p w:rsidR="00673CCD" w:rsidRDefault="00673CCD" w:rsidP="00673CCD">
      <w:pPr>
        <w:pStyle w:val="ListParagraph"/>
        <w:ind w:left="708"/>
      </w:pPr>
    </w:p>
    <w:p w:rsidR="00673CCD" w:rsidRPr="00E260CC" w:rsidRDefault="00673CCD" w:rsidP="0033760A">
      <w:pPr>
        <w:pStyle w:val="ListParagraph"/>
        <w:ind w:left="851"/>
      </w:pPr>
      <w:r w:rsidRPr="00E260CC">
        <w:t>Les nouveaux seuils devraient être calculés avec les valeurs de référence de seuils d’effets AEGL</w:t>
      </w:r>
      <w:r>
        <w:t>-</w:t>
      </w:r>
      <w:r w:rsidRPr="00E260CC">
        <w:t>2 les plus récents.</w:t>
      </w:r>
      <w:r>
        <w:t xml:space="preserve">  </w:t>
      </w:r>
      <w:r w:rsidRPr="00E260CC">
        <w:t xml:space="preserve">Par exemple, pour le chlore, le seuil devrait être </w:t>
      </w:r>
      <w:r>
        <w:t>basé</w:t>
      </w:r>
      <w:r w:rsidRPr="00E260CC">
        <w:t xml:space="preserve"> </w:t>
      </w:r>
      <w:r>
        <w:t>sur la nouvelle valeur de l’AEGL</w:t>
      </w:r>
      <w:r>
        <w:noBreakHyphen/>
        <w:t>2,</w:t>
      </w:r>
      <w:r w:rsidRPr="00E260CC">
        <w:t xml:space="preserve"> soit 2 ppm. </w:t>
      </w:r>
    </w:p>
    <w:p w:rsidR="00673CCD" w:rsidRPr="00E260CC" w:rsidRDefault="00673CCD" w:rsidP="0033760A">
      <w:pPr>
        <w:pStyle w:val="ListParagraph"/>
        <w:ind w:left="851"/>
      </w:pPr>
      <w:r w:rsidRPr="00E260CC">
        <w:t>En prenant la quantité seuil de l’étude de 2010 avec l’AEGL</w:t>
      </w:r>
      <w:r>
        <w:t>-</w:t>
      </w:r>
      <w:r w:rsidRPr="00E260CC">
        <w:t>2 de 3</w:t>
      </w:r>
      <w:r>
        <w:t xml:space="preserve"> </w:t>
      </w:r>
      <w:r w:rsidRPr="00E260CC">
        <w:t>ppm de l’époque soit 220 kg, lors d’un accident important il y aurait des répercussions sur la population. Une modélisation avec ALOHA 5.4.4</w:t>
      </w:r>
      <w:r>
        <w:t xml:space="preserve"> </w:t>
      </w:r>
      <w:r w:rsidRPr="00E260CC">
        <w:t>pour cette quantité donne une distance d’impact pour l’AEGL</w:t>
      </w:r>
      <w:r>
        <w:t>-</w:t>
      </w:r>
      <w:r w:rsidRPr="00E260CC">
        <w:t>2 (2 ppm) de 1,5</w:t>
      </w:r>
      <w:r>
        <w:t xml:space="preserve"> km.</w:t>
      </w:r>
    </w:p>
    <w:p w:rsidR="00673CCD" w:rsidRDefault="00673CCD" w:rsidP="0033760A">
      <w:pPr>
        <w:pStyle w:val="ListParagraph"/>
        <w:ind w:left="851"/>
      </w:pPr>
      <w:r w:rsidRPr="00E260CC">
        <w:t>Quant à l’ammoniac, selon la même référence, la nouvelle quantité seuil devrait être de 2,27 tonnes métriques. L’impact calculé par ALOHA 5.4.4 pour cette quantité pourrait donner une distance pour l’AEGL</w:t>
      </w:r>
      <w:r>
        <w:t>-</w:t>
      </w:r>
      <w:r w:rsidRPr="00E260CC">
        <w:t>2 de 775 mètres.</w:t>
      </w:r>
    </w:p>
    <w:p w:rsidR="00E163B4" w:rsidRDefault="00E163B4" w:rsidP="0033760A">
      <w:pPr>
        <w:rPr>
          <w:rFonts w:ascii="Arial" w:hAnsi="Arial" w:cs="Arial"/>
          <w:b/>
          <w:sz w:val="24"/>
        </w:rPr>
      </w:pPr>
    </w:p>
    <w:p w:rsidR="00F801AA" w:rsidRPr="0033760A" w:rsidRDefault="0033760A" w:rsidP="0033760A">
      <w:pPr>
        <w:rPr>
          <w:rFonts w:ascii="Arial" w:hAnsi="Arial" w:cs="Arial"/>
          <w:sz w:val="24"/>
          <w:u w:val="single"/>
        </w:rPr>
      </w:pPr>
      <w:r w:rsidRPr="0033760A">
        <w:rPr>
          <w:rFonts w:ascii="Arial" w:hAnsi="Arial" w:cs="Arial"/>
          <w:b/>
          <w:sz w:val="24"/>
        </w:rPr>
        <w:t>NOTE</w:t>
      </w:r>
      <w:r w:rsidRPr="0033760A">
        <w:rPr>
          <w:rFonts w:ascii="Arial" w:hAnsi="Arial" w:cs="Arial"/>
          <w:sz w:val="24"/>
        </w:rPr>
        <w:t xml:space="preserve"> : </w:t>
      </w:r>
      <w:r w:rsidR="00F801AA" w:rsidRPr="0033760A">
        <w:rPr>
          <w:rFonts w:ascii="Arial" w:hAnsi="Arial" w:cs="Arial"/>
          <w:sz w:val="24"/>
        </w:rPr>
        <w:t xml:space="preserve">Nous souhaitons également attirer l’attention du législateur sur le fait que dans le document de consultation,  les notions de risque et de danger sont mal utilisées. Selon le CRAIM, </w:t>
      </w:r>
      <w:r w:rsidR="00F801AA" w:rsidRPr="0033760A">
        <w:rPr>
          <w:rFonts w:ascii="Arial" w:hAnsi="Arial" w:cs="Arial"/>
          <w:sz w:val="24"/>
          <w:u w:val="single"/>
        </w:rPr>
        <w:t>on doit utiliser le mot « danger » et non « risque », lorsqu’on fait référence à une substance.  Le « risque » est la combinaison du niveau de danger et de la probabilité d’occurrence</w:t>
      </w:r>
      <w:r w:rsidR="008F4C17">
        <w:rPr>
          <w:rFonts w:ascii="Arial" w:hAnsi="Arial" w:cs="Arial"/>
          <w:sz w:val="24"/>
          <w:u w:val="single"/>
        </w:rPr>
        <w:t xml:space="preserve"> d’un accident</w:t>
      </w:r>
      <w:r w:rsidR="00F801AA" w:rsidRPr="0033760A">
        <w:rPr>
          <w:rFonts w:ascii="Arial" w:hAnsi="Arial" w:cs="Arial"/>
          <w:sz w:val="24"/>
          <w:u w:val="single"/>
        </w:rPr>
        <w:t>.</w:t>
      </w:r>
    </w:p>
    <w:p w:rsidR="00FF6559" w:rsidRDefault="00FF6559" w:rsidP="00FF6559">
      <w:pPr>
        <w:jc w:val="both"/>
        <w:rPr>
          <w:rFonts w:ascii="Arial" w:hAnsi="Arial" w:cs="Arial"/>
          <w:b/>
          <w:sz w:val="24"/>
          <w:u w:val="single"/>
        </w:rPr>
      </w:pPr>
    </w:p>
    <w:p w:rsidR="00917E9D" w:rsidRPr="00FF6559" w:rsidRDefault="00FF6559" w:rsidP="00FF6559">
      <w:pPr>
        <w:jc w:val="both"/>
        <w:rPr>
          <w:rFonts w:ascii="Arial" w:hAnsi="Arial" w:cs="Arial"/>
          <w:b/>
          <w:sz w:val="24"/>
          <w:u w:val="single"/>
        </w:rPr>
      </w:pPr>
      <w:r>
        <w:rPr>
          <w:rFonts w:ascii="Arial" w:hAnsi="Arial" w:cs="Arial"/>
          <w:b/>
          <w:sz w:val="24"/>
          <w:u w:val="single"/>
        </w:rPr>
        <w:t>SECTION B</w:t>
      </w:r>
    </w:p>
    <w:p w:rsidR="004F3362" w:rsidRDefault="004F3362" w:rsidP="00FF6559">
      <w:pPr>
        <w:pStyle w:val="ListParagraph"/>
        <w:rPr>
          <w:b/>
        </w:rPr>
      </w:pPr>
    </w:p>
    <w:p w:rsidR="00864C1E" w:rsidRDefault="00D24FCF" w:rsidP="00FF6559">
      <w:pPr>
        <w:pStyle w:val="ListParagraph"/>
      </w:pPr>
      <w:r w:rsidRPr="00D222E1">
        <w:rPr>
          <w:b/>
        </w:rPr>
        <w:t>B.1.1</w:t>
      </w:r>
      <w:r w:rsidR="00736692">
        <w:rPr>
          <w:b/>
        </w:rPr>
        <w:t xml:space="preserve"> </w:t>
      </w:r>
      <w:r w:rsidR="00736692">
        <w:t xml:space="preserve">– </w:t>
      </w:r>
      <w:r w:rsidR="00D222E1">
        <w:t>L</w:t>
      </w:r>
      <w:r>
        <w:t>e CRAIM est en accord avec la précision</w:t>
      </w:r>
      <w:r w:rsidR="00890D9B">
        <w:t xml:space="preserve"> proposée</w:t>
      </w:r>
      <w:r>
        <w:t xml:space="preserve">. Cependant, il serait approprié d’indiquer </w:t>
      </w:r>
      <w:r w:rsidR="00890D9B">
        <w:t xml:space="preserve">si </w:t>
      </w:r>
      <w:r w:rsidR="00864C1E">
        <w:t>cette précision</w:t>
      </w:r>
      <w:r>
        <w:t xml:space="preserve"> s’applique </w:t>
      </w:r>
      <w:r w:rsidR="00864C1E">
        <w:t xml:space="preserve">uniquement </w:t>
      </w:r>
      <w:r>
        <w:t>pour le calcul de la quantité totale dans le plus grand réservoir</w:t>
      </w:r>
      <w:r w:rsidR="00864C1E">
        <w:t xml:space="preserve"> ou si c</w:t>
      </w:r>
      <w:r>
        <w:t xml:space="preserve">ela </w:t>
      </w:r>
      <w:r w:rsidR="00864C1E">
        <w:t xml:space="preserve">s’applique </w:t>
      </w:r>
      <w:r>
        <w:t>pour la modélisation du scénario normalisé</w:t>
      </w:r>
      <w:r w:rsidR="00864C1E">
        <w:t>.</w:t>
      </w:r>
      <w:r>
        <w:t xml:space="preserve"> </w:t>
      </w:r>
      <w:r w:rsidR="00864C1E">
        <w:t xml:space="preserve">Selon le CRAIM, le calcul du </w:t>
      </w:r>
      <w:r w:rsidR="00D222E1">
        <w:t>scénario</w:t>
      </w:r>
      <w:r w:rsidR="00864C1E">
        <w:t xml:space="preserve"> normalisé se fait uniquement à partir du </w:t>
      </w:r>
      <w:r>
        <w:t>plus gros récipient de l’ensemble du système de réservoirs. L’explication de ce choix se trouve dans le Guide du CRAIM à la page</w:t>
      </w:r>
      <w:r w:rsidR="00864C1E">
        <w:t xml:space="preserve"> </w:t>
      </w:r>
      <w:r w:rsidR="009C2EA5">
        <w:t>53</w:t>
      </w:r>
      <w:r w:rsidR="00864C1E">
        <w:t xml:space="preserve">. </w:t>
      </w:r>
      <w:r w:rsidR="00864C1E" w:rsidRPr="001D092B">
        <w:t>P</w:t>
      </w:r>
      <w:r w:rsidRPr="001D092B">
        <w:t xml:space="preserve">lusieurs contenants reliés entre eux sans valves </w:t>
      </w:r>
      <w:r w:rsidR="00864C1E" w:rsidRPr="001D092B">
        <w:t xml:space="preserve">n’augmentent </w:t>
      </w:r>
      <w:r w:rsidRPr="001D092B">
        <w:t>pas la distance d’impact</w:t>
      </w:r>
      <w:r w:rsidR="00864C1E" w:rsidRPr="001D092B">
        <w:t xml:space="preserve"> de façon notable lors d’un incident selon la description du scénario normalisé</w:t>
      </w:r>
      <w:r>
        <w:t>. La même explication et l</w:t>
      </w:r>
      <w:r w:rsidR="00864C1E">
        <w:t xml:space="preserve">a </w:t>
      </w:r>
      <w:r>
        <w:t xml:space="preserve">même </w:t>
      </w:r>
      <w:r w:rsidR="00864C1E">
        <w:t>considération</w:t>
      </w:r>
      <w:r>
        <w:t xml:space="preserve"> </w:t>
      </w:r>
      <w:r w:rsidR="007A5FD9">
        <w:t>son</w:t>
      </w:r>
      <w:r>
        <w:t>t fait</w:t>
      </w:r>
      <w:r w:rsidR="007A5FD9">
        <w:t xml:space="preserve">es </w:t>
      </w:r>
      <w:r>
        <w:t xml:space="preserve">par </w:t>
      </w:r>
      <w:r w:rsidR="00864C1E">
        <w:t>l’</w:t>
      </w:r>
      <w:r w:rsidR="00FF6559">
        <w:t>Environnemental</w:t>
      </w:r>
      <w:r w:rsidR="00864C1E">
        <w:t xml:space="preserve"> Protection Agency (</w:t>
      </w:r>
      <w:r>
        <w:t>EPA</w:t>
      </w:r>
      <w:r w:rsidR="00864C1E">
        <w:t>)</w:t>
      </w:r>
      <w:r>
        <w:t xml:space="preserve"> pour son programme </w:t>
      </w:r>
      <w:r w:rsidR="00864C1E" w:rsidRPr="007A5FD9">
        <w:rPr>
          <w:i/>
        </w:rPr>
        <w:t>Risk M</w:t>
      </w:r>
      <w:r w:rsidR="00FF6559" w:rsidRPr="007A5FD9">
        <w:rPr>
          <w:i/>
        </w:rPr>
        <w:t xml:space="preserve">anagement </w:t>
      </w:r>
      <w:r w:rsidR="00864C1E" w:rsidRPr="007A5FD9">
        <w:rPr>
          <w:i/>
        </w:rPr>
        <w:t>Process</w:t>
      </w:r>
      <w:r w:rsidR="00864C1E">
        <w:t xml:space="preserve"> (</w:t>
      </w:r>
      <w:r>
        <w:t>RMP</w:t>
      </w:r>
      <w:r w:rsidR="00864C1E">
        <w:t>).</w:t>
      </w:r>
    </w:p>
    <w:p w:rsidR="001D092B" w:rsidRPr="00E163B4" w:rsidRDefault="001D092B" w:rsidP="00E163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i/>
          <w:color w:val="000000"/>
          <w:sz w:val="28"/>
          <w:szCs w:val="24"/>
          <w:lang w:val="en-CA"/>
        </w:rPr>
      </w:pPr>
      <w:r w:rsidRPr="00E163B4">
        <w:rPr>
          <w:rFonts w:ascii="Arial" w:hAnsi="Arial" w:cs="Arial"/>
          <w:b/>
          <w:i/>
          <w:color w:val="000000"/>
          <w:sz w:val="24"/>
          <w:szCs w:val="24"/>
          <w:lang w:val="en-CA"/>
        </w:rPr>
        <w:t>``Risk management Program Guidance for Offsite Consequence Analysis</w:t>
      </w:r>
      <w:r w:rsidRPr="00E163B4">
        <w:rPr>
          <w:rFonts w:ascii="Arial" w:hAnsi="Arial" w:cs="Arial"/>
          <w:b/>
          <w:i/>
          <w:color w:val="000000"/>
          <w:sz w:val="28"/>
          <w:szCs w:val="24"/>
          <w:lang w:val="en-CA"/>
        </w:rPr>
        <w:t>:</w:t>
      </w:r>
    </w:p>
    <w:p w:rsidR="00864C1E" w:rsidRPr="00E163B4" w:rsidRDefault="001D092B" w:rsidP="00E163B4">
      <w:pPr>
        <w:pStyle w:val="ListParagraph"/>
        <w:pBdr>
          <w:top w:val="single" w:sz="4" w:space="1" w:color="auto"/>
          <w:left w:val="single" w:sz="4" w:space="4" w:color="auto"/>
          <w:bottom w:val="single" w:sz="4" w:space="1" w:color="auto"/>
          <w:right w:val="single" w:sz="4" w:space="4" w:color="auto"/>
        </w:pBdr>
        <w:rPr>
          <w:i/>
          <w:color w:val="000000"/>
          <w:szCs w:val="21"/>
          <w:lang w:val="en-CA"/>
        </w:rPr>
      </w:pPr>
      <w:r w:rsidRPr="00E163B4">
        <w:rPr>
          <w:i/>
          <w:color w:val="000000"/>
          <w:szCs w:val="21"/>
          <w:lang w:val="en-CA"/>
        </w:rPr>
        <w:t xml:space="preserve">Chapitre 1, page 1-6: </w:t>
      </w:r>
      <w:r w:rsidR="00614D60" w:rsidRPr="00E163B4">
        <w:rPr>
          <w:i/>
          <w:color w:val="000000"/>
          <w:szCs w:val="21"/>
          <w:lang w:val="en-CA"/>
        </w:rPr>
        <w:t>For the worst-case analysis, determine the quantity of each substance held in the largest single vessel or pipe.</w:t>
      </w:r>
    </w:p>
    <w:p w:rsidR="001D092B" w:rsidRPr="00E163B4" w:rsidRDefault="001D092B" w:rsidP="00E163B4">
      <w:pPr>
        <w:pStyle w:val="ListParagraph"/>
        <w:pBdr>
          <w:top w:val="single" w:sz="4" w:space="1" w:color="auto"/>
          <w:left w:val="single" w:sz="4" w:space="4" w:color="auto"/>
          <w:bottom w:val="single" w:sz="4" w:space="1" w:color="auto"/>
          <w:right w:val="single" w:sz="4" w:space="4" w:color="auto"/>
        </w:pBdr>
        <w:rPr>
          <w:i/>
          <w:color w:val="000000"/>
          <w:szCs w:val="21"/>
          <w:lang w:val="en-CA"/>
        </w:rPr>
      </w:pPr>
      <w:r w:rsidRPr="00E163B4">
        <w:rPr>
          <w:i/>
          <w:color w:val="000000"/>
          <w:szCs w:val="21"/>
          <w:lang w:val="en-CA"/>
        </w:rPr>
        <w:t>Chapitre 2, page 2-2: EPA has defined a worst-case release as the release of the largest quantity of a regulated substance from a vessel or process line failure that results in the greatest distance to a specified endpoint. For substances in vessels, you must assume release of the largest amount in a single vessel</w:t>
      </w:r>
      <w:proofErr w:type="gramStart"/>
      <w:r w:rsidRPr="00E163B4">
        <w:rPr>
          <w:i/>
          <w:color w:val="000000"/>
          <w:szCs w:val="21"/>
          <w:lang w:val="en-CA"/>
        </w:rPr>
        <w:t>.`</w:t>
      </w:r>
      <w:proofErr w:type="gramEnd"/>
      <w:r w:rsidRPr="00E163B4">
        <w:rPr>
          <w:i/>
          <w:color w:val="000000"/>
          <w:szCs w:val="21"/>
          <w:lang w:val="en-CA"/>
        </w:rPr>
        <w:t>`</w:t>
      </w:r>
    </w:p>
    <w:p w:rsidR="00667FCF" w:rsidRPr="0087282B" w:rsidRDefault="00667FCF" w:rsidP="00FF6559">
      <w:pPr>
        <w:pStyle w:val="ListParagraph"/>
        <w:rPr>
          <w:b/>
          <w:lang w:val="en-CA"/>
        </w:rPr>
      </w:pPr>
    </w:p>
    <w:p w:rsidR="009870ED" w:rsidRDefault="009870ED" w:rsidP="00FF6559">
      <w:pPr>
        <w:pStyle w:val="ListParagraph"/>
        <w:rPr>
          <w:b/>
        </w:rPr>
      </w:pPr>
      <w:r>
        <w:rPr>
          <w:b/>
        </w:rPr>
        <w:t xml:space="preserve">B1.2 – </w:t>
      </w:r>
      <w:r w:rsidRPr="009870ED">
        <w:t>Le choix du terme « exerci</w:t>
      </w:r>
      <w:r w:rsidR="007A5FD9">
        <w:t>c</w:t>
      </w:r>
      <w:r w:rsidRPr="009870ED">
        <w:t>e » devrait inclure une précision</w:t>
      </w:r>
      <w:r w:rsidR="00CE60F0">
        <w:t>.</w:t>
      </w:r>
    </w:p>
    <w:p w:rsidR="00D222E1" w:rsidRDefault="00736692" w:rsidP="00E163B4">
      <w:pPr>
        <w:pStyle w:val="ListParagraph"/>
      </w:pPr>
      <w:r w:rsidRPr="00736692">
        <w:rPr>
          <w:b/>
        </w:rPr>
        <w:t>RECOMMANDATION</w:t>
      </w:r>
      <w:r>
        <w:t xml:space="preserve"> : </w:t>
      </w:r>
      <w:r w:rsidR="00864C1E">
        <w:t>Le CRAIM recommande de r</w:t>
      </w:r>
      <w:r w:rsidR="00D24FCF">
        <w:t xml:space="preserve">emplacer </w:t>
      </w:r>
      <w:r w:rsidR="00864C1E">
        <w:t>le terme « </w:t>
      </w:r>
      <w:r w:rsidR="00D24FCF">
        <w:t>exercice complet</w:t>
      </w:r>
      <w:r w:rsidR="00864C1E">
        <w:t> »</w:t>
      </w:r>
      <w:r w:rsidR="00D24FCF">
        <w:t xml:space="preserve"> par </w:t>
      </w:r>
      <w:r w:rsidR="00864C1E">
        <w:t>« </w:t>
      </w:r>
      <w:r w:rsidR="00D24FCF">
        <w:t>exercice avec déploiement</w:t>
      </w:r>
      <w:r w:rsidR="00864C1E">
        <w:t> »</w:t>
      </w:r>
      <w:r w:rsidR="00D24FCF">
        <w:t>.</w:t>
      </w:r>
    </w:p>
    <w:p w:rsidR="00E163B4" w:rsidRDefault="00E163B4" w:rsidP="00FF6559">
      <w:pPr>
        <w:pStyle w:val="ListParagraph"/>
        <w:rPr>
          <w:b/>
        </w:rPr>
      </w:pPr>
    </w:p>
    <w:p w:rsidR="00180F6E" w:rsidRDefault="00D222E1" w:rsidP="00FF6559">
      <w:pPr>
        <w:pStyle w:val="ListParagraph"/>
      </w:pPr>
      <w:r w:rsidRPr="00180F6E">
        <w:rPr>
          <w:b/>
        </w:rPr>
        <w:t>B</w:t>
      </w:r>
      <w:r w:rsidR="00D24FCF" w:rsidRPr="00180F6E">
        <w:rPr>
          <w:b/>
        </w:rPr>
        <w:t>1.6</w:t>
      </w:r>
      <w:r w:rsidR="00D24FCF">
        <w:t xml:space="preserve"> </w:t>
      </w:r>
      <w:r w:rsidR="00180F6E">
        <w:t xml:space="preserve">– Le CRAIM </w:t>
      </w:r>
      <w:r w:rsidR="00736692">
        <w:t xml:space="preserve">croit </w:t>
      </w:r>
      <w:r w:rsidR="00180F6E">
        <w:t xml:space="preserve">que cette précision n’est pas </w:t>
      </w:r>
      <w:r w:rsidR="00736692">
        <w:t>nécessaire</w:t>
      </w:r>
      <w:r w:rsidR="00180F6E">
        <w:t xml:space="preserve"> puisqu’elle se </w:t>
      </w:r>
      <w:r w:rsidR="00D24FCF">
        <w:t>retrouve dans les Lignes directrices accompagnant le règlement.</w:t>
      </w:r>
    </w:p>
    <w:p w:rsidR="00E163B4" w:rsidRDefault="00E163B4" w:rsidP="00FF6559">
      <w:pPr>
        <w:pStyle w:val="ListParagraph"/>
        <w:rPr>
          <w:b/>
        </w:rPr>
      </w:pPr>
    </w:p>
    <w:p w:rsidR="008F4B8D" w:rsidRDefault="008F4B8D" w:rsidP="00FF6559">
      <w:pPr>
        <w:pStyle w:val="ListParagraph"/>
      </w:pPr>
      <w:r w:rsidRPr="00E163B4">
        <w:rPr>
          <w:b/>
        </w:rPr>
        <w:t>B7</w:t>
      </w:r>
      <w:r w:rsidR="00C304F1">
        <w:rPr>
          <w:b/>
        </w:rPr>
        <w:t xml:space="preserve"> </w:t>
      </w:r>
      <w:r w:rsidR="00C304F1">
        <w:t xml:space="preserve">– </w:t>
      </w:r>
      <w:r>
        <w:t>Précisions des mesures à prendre pour aviser le public :</w:t>
      </w:r>
    </w:p>
    <w:p w:rsidR="008F4B8D" w:rsidRDefault="008F4B8D" w:rsidP="00E163B4">
      <w:pPr>
        <w:pStyle w:val="ListParagraph"/>
      </w:pPr>
      <w:r>
        <w:t>Le CRAIM est tout à fait en accord avec ces précisions. Le CRAIM a toujours fait la promotion d’aviser le public potentiellement affecté lors d’une urgence, non seulement pendant l’urgence</w:t>
      </w:r>
      <w:r w:rsidR="0087282B">
        <w:t xml:space="preserve">, </w:t>
      </w:r>
      <w:r>
        <w:t>mais aussi avant, afin qu’il se protège, et après l’urgence.</w:t>
      </w:r>
    </w:p>
    <w:p w:rsidR="00E163B4" w:rsidRDefault="00E163B4" w:rsidP="00FF6559">
      <w:pPr>
        <w:pStyle w:val="ListParagraph"/>
        <w:rPr>
          <w:b/>
        </w:rPr>
      </w:pPr>
    </w:p>
    <w:p w:rsidR="00736692" w:rsidRDefault="00736692" w:rsidP="00FF6559">
      <w:pPr>
        <w:pStyle w:val="ListParagraph"/>
      </w:pPr>
      <w:r w:rsidRPr="00736692">
        <w:rPr>
          <w:b/>
        </w:rPr>
        <w:t>B7.4</w:t>
      </w:r>
      <w:r>
        <w:t xml:space="preserve"> – En ce qui concerne </w:t>
      </w:r>
      <w:r w:rsidR="00CE60F0">
        <w:t>l’ajout d’</w:t>
      </w:r>
      <w:r w:rsidR="00473833">
        <w:t xml:space="preserve">une demande pour préciser le nom et le titre de personnes responsables d’aviser le public : </w:t>
      </w:r>
    </w:p>
    <w:p w:rsidR="00736692" w:rsidRDefault="00736692" w:rsidP="00E163B4">
      <w:pPr>
        <w:pStyle w:val="ListParagraph"/>
      </w:pPr>
      <w:r>
        <w:rPr>
          <w:b/>
        </w:rPr>
        <w:t>RECOMMANDATION </w:t>
      </w:r>
      <w:r w:rsidRPr="00736692">
        <w:t>:</w:t>
      </w:r>
      <w:r>
        <w:t xml:space="preserve"> Le CRAIM recommande que </w:t>
      </w:r>
      <w:r w:rsidR="00473833">
        <w:t xml:space="preserve">cela </w:t>
      </w:r>
      <w:r w:rsidR="00634D65">
        <w:t>doive</w:t>
      </w:r>
      <w:r w:rsidR="00473833">
        <w:t xml:space="preserve"> faire partie de l’article s</w:t>
      </w:r>
      <w:r w:rsidR="00CE60F0">
        <w:t>ur les rôles et responsabilités.</w:t>
      </w:r>
    </w:p>
    <w:p w:rsidR="00E163B4" w:rsidRDefault="00E163B4" w:rsidP="00F801AA">
      <w:pPr>
        <w:pStyle w:val="ListParagraph"/>
        <w:rPr>
          <w:b/>
        </w:rPr>
      </w:pPr>
    </w:p>
    <w:p w:rsidR="00F801AA" w:rsidRDefault="00F801AA" w:rsidP="00F801AA">
      <w:pPr>
        <w:pStyle w:val="ListParagraph"/>
      </w:pPr>
      <w:r w:rsidRPr="00FF6559">
        <w:rPr>
          <w:b/>
        </w:rPr>
        <w:t>B11</w:t>
      </w:r>
      <w:r w:rsidRPr="00F801AA">
        <w:rPr>
          <w:b/>
        </w:rPr>
        <w:t xml:space="preserve"> </w:t>
      </w:r>
      <w:r w:rsidR="00C304F1">
        <w:t xml:space="preserve">– </w:t>
      </w:r>
      <w:r>
        <w:t>Regrouper toutes les parties de l’annexe 1 en une liste unique :</w:t>
      </w:r>
    </w:p>
    <w:p w:rsidR="00F801AA" w:rsidRDefault="00F801AA" w:rsidP="00F801AA">
      <w:pPr>
        <w:pStyle w:val="ListParagraph"/>
      </w:pPr>
      <w:r>
        <w:t>En regroupant sous une même liste toutes les substances, il devient plus complexe pour une entreprise de faire l’analyse de risques puisque le danger n’est pas bien défini.  Doit-on alors choisir le scénario le plus probable ou celui avec les conséquences les plus importantes?  Par exemple, pour l’ammoniac : doit-on faire l’estimation des conséquences en vertu de la toxicité du produit ou en vertu de son inflammabilité? Avec la liste actuelle, l’ammoniac est classé dans la partie 2 de l’annexe1, soit les substances à effets toxiques. Ainsi, les scénarios étudiés se concentrent sur les effets toxiques sur la population et l’environnement,  soit ceux qui prévalent normalement.</w:t>
      </w:r>
    </w:p>
    <w:p w:rsidR="00F801AA" w:rsidRDefault="00F801AA" w:rsidP="00E163B4">
      <w:pPr>
        <w:pStyle w:val="ListParagraph"/>
      </w:pPr>
      <w:r w:rsidRPr="00736692">
        <w:rPr>
          <w:b/>
        </w:rPr>
        <w:t>RECOMMANDATION</w:t>
      </w:r>
      <w:r>
        <w:t xml:space="preserve"> : Le CRAIM </w:t>
      </w:r>
      <w:r w:rsidR="00C304F1">
        <w:t xml:space="preserve">recommande </w:t>
      </w:r>
      <w:r>
        <w:t>que les listes demeurent sous leur forme actuelle ou bien si elles sont regroupées en une seule liste, qu’on y  ajoute une colonne avec le danger principal et les dangers additionnels entre parenthèses.</w:t>
      </w:r>
    </w:p>
    <w:p w:rsidR="00E163B4" w:rsidRDefault="00E163B4" w:rsidP="00FF6559">
      <w:pPr>
        <w:pStyle w:val="ListParagraph"/>
        <w:rPr>
          <w:b/>
        </w:rPr>
      </w:pPr>
    </w:p>
    <w:p w:rsidR="00736692" w:rsidRDefault="00736692" w:rsidP="00E163B4">
      <w:pPr>
        <w:pStyle w:val="ListParagraph"/>
        <w:keepLines/>
      </w:pPr>
      <w:r w:rsidRPr="00736692">
        <w:rPr>
          <w:b/>
        </w:rPr>
        <w:t>B</w:t>
      </w:r>
      <w:r w:rsidR="00415462" w:rsidRPr="00736692">
        <w:rPr>
          <w:b/>
        </w:rPr>
        <w:t>12.2</w:t>
      </w:r>
      <w:r w:rsidR="00415462">
        <w:t xml:space="preserve"> </w:t>
      </w:r>
      <w:r>
        <w:t>– Le texte dans le document de consultation n</w:t>
      </w:r>
      <w:r w:rsidR="009F7EA6">
        <w:t>’</w:t>
      </w:r>
      <w:r w:rsidR="00415462">
        <w:t xml:space="preserve">est </w:t>
      </w:r>
      <w:r w:rsidR="009F7EA6">
        <w:t>pas suffisamment clair sur le niveau de précision qui serait ajouté</w:t>
      </w:r>
      <w:r w:rsidR="007A5FD9">
        <w:t xml:space="preserve"> </w:t>
      </w:r>
      <w:r w:rsidR="009F7EA6">
        <w:t>au RUE.  La précision doit signifier</w:t>
      </w:r>
      <w:r w:rsidR="00415462">
        <w:t xml:space="preserve"> </w:t>
      </w:r>
      <w:r w:rsidR="009F7EA6">
        <w:t>si le calcul se base sur la solution ou sur la quantité de produit en solution.  Par exemple, pour une solution d</w:t>
      </w:r>
      <w:r w:rsidR="00415462">
        <w:t>’acide chlorhydrique à 30% détenue sur le site</w:t>
      </w:r>
      <w:r w:rsidR="009F7EA6">
        <w:t>, si la</w:t>
      </w:r>
      <w:r w:rsidR="00415462">
        <w:t xml:space="preserve"> quantité </w:t>
      </w:r>
      <w:r w:rsidR="009F7EA6">
        <w:t>de solution est de</w:t>
      </w:r>
      <w:r w:rsidR="00415462">
        <w:t xml:space="preserve"> 100 tonnes, </w:t>
      </w:r>
      <w:r w:rsidR="00CE60F0">
        <w:t>doit-on effectuer le calcul pour obtenir 30 tonnes de substance pure qui pourrait se libérer ou prenons-nous maintenant 100 tonnes pour déterminer si on est assujetti ou pas? E</w:t>
      </w:r>
      <w:r w:rsidR="00415462">
        <w:t>st-ce à dire que la nouvelle quantité seuil de 0,22 tonne s’applique à la solution ou à la substance pure? Dans le RUE actuel, il faut 22.666 tonnes d’acide chlorhydrique</w:t>
      </w:r>
      <w:r w:rsidR="008B5850">
        <w:t xml:space="preserve"> à 30%</w:t>
      </w:r>
      <w:r w:rsidR="00415462">
        <w:t xml:space="preserve"> pour ren</w:t>
      </w:r>
      <w:r w:rsidR="003640B1">
        <w:t>contrer la quantité seuil de 6,</w:t>
      </w:r>
      <w:r w:rsidR="00415462">
        <w:t>8 tonnes de substance pure</w:t>
      </w:r>
      <w:r w:rsidR="009F7EA6" w:rsidRPr="009F7EA6">
        <w:t xml:space="preserve"> </w:t>
      </w:r>
      <w:r w:rsidR="009F7EA6">
        <w:t>pour être assujetti aux diverses dispositions du règlement</w:t>
      </w:r>
      <w:r w:rsidR="00415462">
        <w:t xml:space="preserve">. Est-ce que </w:t>
      </w:r>
      <w:r w:rsidR="009F7EA6">
        <w:t>la modification proposée se base sur un mode de calcul similaire</w:t>
      </w:r>
      <w:r w:rsidR="00415462">
        <w:t>?</w:t>
      </w:r>
    </w:p>
    <w:p w:rsidR="00DF7666" w:rsidRDefault="00DF7666" w:rsidP="00E163B4">
      <w:pPr>
        <w:pStyle w:val="ListParagraph"/>
        <w:rPr>
          <w:b/>
        </w:rPr>
      </w:pPr>
    </w:p>
    <w:p w:rsidR="009F7EA6" w:rsidRDefault="009F7EA6" w:rsidP="00E163B4">
      <w:pPr>
        <w:pStyle w:val="ListParagraph"/>
      </w:pPr>
      <w:r>
        <w:rPr>
          <w:b/>
        </w:rPr>
        <w:t>RECOMMANDATION </w:t>
      </w:r>
      <w:r w:rsidRPr="009F7EA6">
        <w:t>:</w:t>
      </w:r>
      <w:r>
        <w:t xml:space="preserve"> La précision concernant les solutions doit clairement indiquer si l</w:t>
      </w:r>
      <w:r w:rsidR="00CE60F0">
        <w:t>a quantité</w:t>
      </w:r>
      <w:r>
        <w:t xml:space="preserve"> seuil s’applique à la solution ou bien au produit pur dans la solution.</w:t>
      </w:r>
    </w:p>
    <w:p w:rsidR="008B5850" w:rsidRDefault="009F7EA6" w:rsidP="00E163B4">
      <w:pPr>
        <w:pStyle w:val="ListParagraph"/>
      </w:pPr>
      <w:r>
        <w:t>Par ailleurs,</w:t>
      </w:r>
      <w:r w:rsidR="008B5850">
        <w:t xml:space="preserve"> la colonne de concentration pour les acide</w:t>
      </w:r>
      <w:r w:rsidR="00725226">
        <w:t>s</w:t>
      </w:r>
      <w:r w:rsidR="008B5850">
        <w:t xml:space="preserve"> </w:t>
      </w:r>
      <w:r>
        <w:t>indique</w:t>
      </w:r>
      <w:r w:rsidR="008B5850">
        <w:t xml:space="preserve"> des </w:t>
      </w:r>
      <w:r w:rsidR="00725226">
        <w:t>v</w:t>
      </w:r>
      <w:r w:rsidR="008B5850">
        <w:t xml:space="preserve">aleurs de pH. Est-ce </w:t>
      </w:r>
      <w:r w:rsidR="00CE60F0">
        <w:t xml:space="preserve">à </w:t>
      </w:r>
      <w:r w:rsidR="008B5850">
        <w:t xml:space="preserve">dire que </w:t>
      </w:r>
      <w:r>
        <w:t>le pH devient maintenant une valeur seuil?</w:t>
      </w:r>
      <w:r w:rsidR="00DF7666">
        <w:t xml:space="preserve"> Ceci n’est pas un pourcentage à la colonne 2 comme stipulée dans la définition du Règlement.</w:t>
      </w:r>
    </w:p>
    <w:p w:rsidR="009F7EA6" w:rsidRDefault="009F7EA6" w:rsidP="00E163B4">
      <w:pPr>
        <w:pStyle w:val="ListParagraph"/>
      </w:pPr>
      <w:r w:rsidRPr="009F7EA6">
        <w:rPr>
          <w:b/>
        </w:rPr>
        <w:t>RECOMMANDATION</w:t>
      </w:r>
      <w:r>
        <w:t> : le législateur doit préciser l’utilisation de la valeur du pH dans le tableau.</w:t>
      </w:r>
    </w:p>
    <w:p w:rsidR="0033760A" w:rsidRDefault="0033760A" w:rsidP="0033760A">
      <w:pPr>
        <w:pStyle w:val="ListParagraph"/>
        <w:ind w:left="360"/>
      </w:pPr>
    </w:p>
    <w:p w:rsidR="0033760A" w:rsidRDefault="0033760A" w:rsidP="0033760A">
      <w:pPr>
        <w:pStyle w:val="ListParagraph"/>
        <w:rPr>
          <w:b/>
        </w:rPr>
      </w:pPr>
      <w:r w:rsidRPr="0033760A">
        <w:rPr>
          <w:b/>
        </w:rPr>
        <w:t xml:space="preserve">AUTRES </w:t>
      </w:r>
      <w:r w:rsidR="008F4C17" w:rsidRPr="0033760A">
        <w:rPr>
          <w:b/>
        </w:rPr>
        <w:t>RECOMM</w:t>
      </w:r>
      <w:r w:rsidR="008F4C17">
        <w:rPr>
          <w:b/>
        </w:rPr>
        <w:t>AN</w:t>
      </w:r>
      <w:r w:rsidR="008F4C17" w:rsidRPr="0033760A">
        <w:rPr>
          <w:b/>
        </w:rPr>
        <w:t>DATIONS </w:t>
      </w:r>
      <w:r w:rsidRPr="0033760A">
        <w:rPr>
          <w:b/>
        </w:rPr>
        <w:t>:</w:t>
      </w:r>
    </w:p>
    <w:p w:rsidR="008F4B8D" w:rsidRPr="00C410F2" w:rsidRDefault="008F4C17" w:rsidP="0033760A">
      <w:pPr>
        <w:pStyle w:val="ListParagraph"/>
      </w:pPr>
      <w:r>
        <w:t>Les recommandations suivantes sont t</w:t>
      </w:r>
      <w:r w:rsidR="008F4B8D" w:rsidRPr="00C410F2">
        <w:t>irées du document ``</w:t>
      </w:r>
      <w:r w:rsidR="008F4B8D" w:rsidRPr="008F4C17">
        <w:rPr>
          <w:i/>
          <w:u w:val="single"/>
        </w:rPr>
        <w:t xml:space="preserve">Recommandations pour une gestion sécuritaire </w:t>
      </w:r>
      <w:r w:rsidR="00634D65" w:rsidRPr="008F4C17">
        <w:rPr>
          <w:i/>
          <w:u w:val="single"/>
        </w:rPr>
        <w:t>des</w:t>
      </w:r>
      <w:r w:rsidR="008F4B8D" w:rsidRPr="008F4C17">
        <w:rPr>
          <w:i/>
          <w:u w:val="single"/>
        </w:rPr>
        <w:t xml:space="preserve"> matières dangereuses</w:t>
      </w:r>
      <w:r w:rsidR="008F4B8D" w:rsidRPr="00C410F2">
        <w:t xml:space="preserve">`` de </w:t>
      </w:r>
      <w:r w:rsidR="008F4B8D" w:rsidRPr="008F4C17">
        <w:rPr>
          <w:i/>
        </w:rPr>
        <w:t>l’Alliance pour la gestion sécuritaire des matières dangereuses</w:t>
      </w:r>
      <w:r w:rsidR="00C410F2" w:rsidRPr="00C410F2">
        <w:t>, 2014</w:t>
      </w:r>
      <w:r>
        <w:rPr>
          <w:rStyle w:val="FootnoteReference"/>
        </w:rPr>
        <w:footnoteReference w:id="1"/>
      </w:r>
      <w:r w:rsidR="008F4B8D" w:rsidRPr="00C410F2">
        <w:t>. Cette alliance regroupe les associations suivantes :</w:t>
      </w:r>
    </w:p>
    <w:p w:rsidR="00C410F2" w:rsidRPr="00C410F2" w:rsidRDefault="00C410F2" w:rsidP="00C410F2">
      <w:pPr>
        <w:pStyle w:val="ListParagraph"/>
        <w:numPr>
          <w:ilvl w:val="0"/>
          <w:numId w:val="29"/>
        </w:numPr>
      </w:pPr>
      <w:r w:rsidRPr="00C410F2">
        <w:t xml:space="preserve">Association </w:t>
      </w:r>
      <w:r w:rsidRPr="00C410F2">
        <w:rPr>
          <w:sz w:val="22"/>
        </w:rPr>
        <w:t xml:space="preserve"> </w:t>
      </w:r>
      <w:r w:rsidRPr="008F4C17">
        <w:t>de sécurité civile du Québec (ASCQ);</w:t>
      </w:r>
    </w:p>
    <w:p w:rsidR="00C410F2" w:rsidRPr="00C410F2" w:rsidRDefault="008F4C17" w:rsidP="00C410F2">
      <w:pPr>
        <w:pStyle w:val="ListParagraph"/>
        <w:numPr>
          <w:ilvl w:val="0"/>
          <w:numId w:val="29"/>
        </w:numPr>
      </w:pPr>
      <w:r>
        <w:t xml:space="preserve">Réseau </w:t>
      </w:r>
      <w:r w:rsidR="00C410F2" w:rsidRPr="008F4C17">
        <w:t>d’échange en continuité des opérations du Québec (RECO-Québec);</w:t>
      </w:r>
    </w:p>
    <w:p w:rsidR="00C410F2" w:rsidRPr="00C410F2" w:rsidRDefault="00C410F2" w:rsidP="00C410F2">
      <w:pPr>
        <w:pStyle w:val="ListParagraph"/>
        <w:numPr>
          <w:ilvl w:val="0"/>
          <w:numId w:val="29"/>
        </w:numPr>
      </w:pPr>
      <w:r w:rsidRPr="008F4C17">
        <w:t>Conseil pour la réduction des accidents industriels majeurs (CRAIM).</w:t>
      </w:r>
    </w:p>
    <w:p w:rsidR="00E163B4" w:rsidRDefault="009870ED" w:rsidP="008F4C17">
      <w:pPr>
        <w:pStyle w:val="ListParagraph"/>
      </w:pPr>
      <w:r w:rsidRPr="009870ED">
        <w:t>Le CRAIM souhaite également souligner au législateur que le processus de modification du RUE devrait permettre de renforcer certaines dispositions du règlement qui permettraient d’améliorer la protection du public et de l’environnement face aux risques que prés</w:t>
      </w:r>
      <w:r>
        <w:t>entent le</w:t>
      </w:r>
      <w:r w:rsidR="00F801AA">
        <w:t>s matières dangereuses.  Des évé</w:t>
      </w:r>
      <w:r>
        <w:t>nements récents ont</w:t>
      </w:r>
      <w:r w:rsidRPr="009870ED">
        <w:t xml:space="preserve"> mis à l’avant-scène de l’actualité la réalité de la présence des matières dangereuses dans nos collectivités et les dangers qui y sont associés.  Les craintes du public sont vives et les appels à de meilleurs contrôles nombreux, à juste titre.  Ces substances sont cependant essentielles à notre mode de vie et leur élimination complète dans notre société est impossi</w:t>
      </w:r>
      <w:r>
        <w:t>ble dans un avenir prévisible.</w:t>
      </w:r>
      <w:r w:rsidR="00CD347C">
        <w:t xml:space="preserve">  C’est pourquoi le CRAIM recommande que les propositions suivantes soient également ajouté</w:t>
      </w:r>
      <w:r w:rsidR="007A5FD9">
        <w:t>es</w:t>
      </w:r>
      <w:r w:rsidR="00CD347C">
        <w:t xml:space="preserve"> au processus de modification du RUE.</w:t>
      </w:r>
      <w:r w:rsidRPr="009870ED">
        <w:t xml:space="preserve"> </w:t>
      </w:r>
    </w:p>
    <w:p w:rsidR="00A757B0" w:rsidRPr="009870ED" w:rsidRDefault="00A757B0" w:rsidP="008F4C17">
      <w:pPr>
        <w:pStyle w:val="ListParagraph"/>
      </w:pPr>
    </w:p>
    <w:p w:rsidR="00CD347C" w:rsidRPr="0033760A" w:rsidRDefault="0033760A" w:rsidP="0033760A">
      <w:pPr>
        <w:tabs>
          <w:tab w:val="left" w:pos="709"/>
        </w:tabs>
        <w:rPr>
          <w:rFonts w:ascii="Arial" w:hAnsi="Arial" w:cs="Arial"/>
          <w:b/>
          <w:sz w:val="24"/>
        </w:rPr>
      </w:pPr>
      <w:r w:rsidRPr="0033760A">
        <w:rPr>
          <w:rFonts w:ascii="Arial" w:hAnsi="Arial" w:cs="Arial"/>
          <w:b/>
          <w:sz w:val="24"/>
        </w:rPr>
        <w:t xml:space="preserve">1. </w:t>
      </w:r>
      <w:r w:rsidR="003A1DD6" w:rsidRPr="0033760A">
        <w:rPr>
          <w:rFonts w:ascii="Arial" w:hAnsi="Arial" w:cs="Arial"/>
          <w:b/>
          <w:sz w:val="24"/>
        </w:rPr>
        <w:t>Choi</w:t>
      </w:r>
      <w:r w:rsidR="00CD347C" w:rsidRPr="0033760A">
        <w:rPr>
          <w:rFonts w:ascii="Arial" w:hAnsi="Arial" w:cs="Arial"/>
          <w:b/>
          <w:sz w:val="24"/>
        </w:rPr>
        <w:t>x d</w:t>
      </w:r>
      <w:r w:rsidR="003A1DD6" w:rsidRPr="0033760A">
        <w:rPr>
          <w:rFonts w:ascii="Arial" w:hAnsi="Arial" w:cs="Arial"/>
          <w:b/>
          <w:sz w:val="24"/>
        </w:rPr>
        <w:t>es technologies sécur</w:t>
      </w:r>
      <w:r w:rsidR="00CD347C" w:rsidRPr="0033760A">
        <w:rPr>
          <w:rFonts w:ascii="Arial" w:hAnsi="Arial" w:cs="Arial"/>
          <w:b/>
          <w:sz w:val="24"/>
        </w:rPr>
        <w:t>itaires.</w:t>
      </w:r>
    </w:p>
    <w:p w:rsidR="00CD347C" w:rsidRDefault="00CD347C" w:rsidP="008F4C17">
      <w:pPr>
        <w:pStyle w:val="ListParagraph"/>
        <w:tabs>
          <w:tab w:val="clear" w:pos="851"/>
          <w:tab w:val="left" w:pos="709"/>
        </w:tabs>
      </w:pPr>
      <w:r w:rsidRPr="00CD347C">
        <w:rPr>
          <w:b/>
        </w:rPr>
        <w:t>RECOMMANDATION</w:t>
      </w:r>
      <w:r>
        <w:t> : Tout</w:t>
      </w:r>
      <w:r w:rsidR="007A5FD9">
        <w:t xml:space="preserve">e </w:t>
      </w:r>
      <w:r>
        <w:t>entité, soumise à l’application du RUE, selon les disposi</w:t>
      </w:r>
      <w:r w:rsidR="00EB6ED9">
        <w:t>ti</w:t>
      </w:r>
      <w:r>
        <w:t>ons prévue</w:t>
      </w:r>
      <w:r w:rsidR="00C20D7C">
        <w:t>s</w:t>
      </w:r>
      <w:r>
        <w:t xml:space="preserve"> par le règlement, doit produire et rendre accessible aux autorités réglementaires concernées un rapport détaillé signé par un professionnel légalement autorisé (i.e. dument inscrit au tableau de son ordre professionnel et possédant les compétences requises) faisant état des alternatives technologiques considérées et faisant la démonstration que les risques présents ont été évalués et réduits au plus bas niveau réalisable (concept ALARA ou ALARP) étant donné l’état des pratiques en vigueur et des connaissances disponibles au moment du dépôt du rapport.  Ce rapport, préférablement émis dès la conception initiale des installations ou équipements, doit être mis à jour sur une base régulière, aux 5 ans maximum ou lors de tout changement significatif aux connaissances scientifiques, aux installations et/ou aux équipements utilisés.</w:t>
      </w:r>
    </w:p>
    <w:p w:rsidR="00F55542" w:rsidRDefault="00F55542" w:rsidP="00F55542">
      <w:pPr>
        <w:tabs>
          <w:tab w:val="left" w:pos="709"/>
        </w:tabs>
        <w:ind w:left="1080" w:hanging="360"/>
      </w:pPr>
    </w:p>
    <w:p w:rsidR="003E059D" w:rsidRPr="0033760A" w:rsidRDefault="0033760A" w:rsidP="0033760A">
      <w:pPr>
        <w:tabs>
          <w:tab w:val="left" w:pos="709"/>
        </w:tabs>
        <w:rPr>
          <w:rFonts w:ascii="Arial" w:hAnsi="Arial" w:cs="Arial"/>
          <w:b/>
          <w:sz w:val="24"/>
        </w:rPr>
      </w:pPr>
      <w:r w:rsidRPr="0033760A">
        <w:rPr>
          <w:rFonts w:ascii="Arial" w:hAnsi="Arial" w:cs="Arial"/>
          <w:b/>
          <w:sz w:val="24"/>
        </w:rPr>
        <w:t xml:space="preserve">2. </w:t>
      </w:r>
      <w:r w:rsidR="00CD347C" w:rsidRPr="0033760A">
        <w:rPr>
          <w:rFonts w:ascii="Arial" w:hAnsi="Arial" w:cs="Arial"/>
          <w:b/>
          <w:sz w:val="24"/>
        </w:rPr>
        <w:t>Mise</w:t>
      </w:r>
      <w:r w:rsidR="003A1DD6" w:rsidRPr="0033760A">
        <w:rPr>
          <w:rFonts w:ascii="Arial" w:hAnsi="Arial" w:cs="Arial"/>
          <w:b/>
          <w:sz w:val="24"/>
        </w:rPr>
        <w:t xml:space="preserve"> en place </w:t>
      </w:r>
      <w:r w:rsidR="00F801AA" w:rsidRPr="0033760A">
        <w:rPr>
          <w:rFonts w:ascii="Arial" w:hAnsi="Arial" w:cs="Arial"/>
          <w:b/>
          <w:sz w:val="24"/>
        </w:rPr>
        <w:t>d’</w:t>
      </w:r>
      <w:r w:rsidR="003A1DD6" w:rsidRPr="0033760A">
        <w:rPr>
          <w:rFonts w:ascii="Arial" w:hAnsi="Arial" w:cs="Arial"/>
          <w:b/>
          <w:sz w:val="24"/>
        </w:rPr>
        <w:t>un système de gestion des risques.</w:t>
      </w:r>
      <w:r w:rsidR="003A1DD6" w:rsidRPr="0033760A">
        <w:rPr>
          <w:rFonts w:ascii="Arial" w:hAnsi="Arial" w:cs="Arial"/>
          <w:b/>
          <w:sz w:val="24"/>
        </w:rPr>
        <w:tab/>
      </w:r>
    </w:p>
    <w:p w:rsidR="00CD347C" w:rsidRDefault="00CD347C" w:rsidP="008F4C17">
      <w:pPr>
        <w:pStyle w:val="ListParagraph"/>
        <w:tabs>
          <w:tab w:val="clear" w:pos="851"/>
          <w:tab w:val="left" w:pos="709"/>
        </w:tabs>
      </w:pPr>
      <w:r w:rsidRPr="00F55542">
        <w:rPr>
          <w:b/>
        </w:rPr>
        <w:t>RECOMMANDATION</w:t>
      </w:r>
      <w:r w:rsidRPr="00CD347C">
        <w:t xml:space="preserve"> : Tout</w:t>
      </w:r>
      <w:r w:rsidR="007A5FD9">
        <w:t xml:space="preserve">e </w:t>
      </w:r>
      <w:r w:rsidRPr="00CD347C">
        <w:t>entité, soumise à l’application du RUE, selon les disposi</w:t>
      </w:r>
      <w:r w:rsidR="00C20D7C">
        <w:t>ti</w:t>
      </w:r>
      <w:r w:rsidRPr="00CD347C">
        <w:t>ons prévue</w:t>
      </w:r>
      <w:r w:rsidR="00C20D7C">
        <w:t>s</w:t>
      </w:r>
      <w:r w:rsidRPr="00CD347C">
        <w:t xml:space="preserve"> par le règlement, doit mettre en place un système de gestion des risques comparable avec la norme ISO 31000-2009, le ¨Process safety management standard, 4th Edition¨ (Société canadienne du génie chimique, 2012), le Guide de gestion des risques d’accidents industriels majeurs à l’intention des municipalités et de l’industrie du CRAIM (2007), le programme de Gestion Responsable</w:t>
      </w:r>
      <w:r w:rsidRPr="008F4C17">
        <w:rPr>
          <w:vertAlign w:val="superscript"/>
        </w:rPr>
        <w:t>©</w:t>
      </w:r>
      <w:r w:rsidRPr="00CD347C">
        <w:t xml:space="preserve"> de l’ACIC ou </w:t>
      </w:r>
      <w:r>
        <w:t xml:space="preserve">un système </w:t>
      </w:r>
      <w:r w:rsidRPr="00CD347C">
        <w:t xml:space="preserve">équivalent. L’organisation doit </w:t>
      </w:r>
      <w:r>
        <w:t xml:space="preserve">également </w:t>
      </w:r>
      <w:r w:rsidRPr="00CD347C">
        <w:t>démontrer l’amélioration continue de son système de gestion au moyen d’indicateurs de performance et lors d’audits ou d’inspections effectués par les autorités réglementaires concernées.</w:t>
      </w:r>
    </w:p>
    <w:p w:rsidR="00F55542" w:rsidRPr="009870ED" w:rsidRDefault="00F55542" w:rsidP="00CD347C">
      <w:pPr>
        <w:pStyle w:val="ListParagraph"/>
        <w:tabs>
          <w:tab w:val="clear" w:pos="851"/>
          <w:tab w:val="left" w:pos="709"/>
        </w:tabs>
        <w:ind w:left="709"/>
      </w:pPr>
    </w:p>
    <w:p w:rsidR="00F55542" w:rsidRPr="0033760A" w:rsidRDefault="0033760A" w:rsidP="0033760A">
      <w:pPr>
        <w:tabs>
          <w:tab w:val="left" w:pos="709"/>
        </w:tabs>
        <w:rPr>
          <w:rFonts w:ascii="Arial" w:hAnsi="Arial" w:cs="Arial"/>
          <w:b/>
          <w:sz w:val="24"/>
        </w:rPr>
      </w:pPr>
      <w:r>
        <w:rPr>
          <w:rFonts w:ascii="Arial" w:hAnsi="Arial" w:cs="Arial"/>
          <w:b/>
          <w:sz w:val="24"/>
        </w:rPr>
        <w:t xml:space="preserve">3. </w:t>
      </w:r>
      <w:r w:rsidR="00F55542" w:rsidRPr="0033760A">
        <w:rPr>
          <w:rFonts w:ascii="Arial" w:hAnsi="Arial" w:cs="Arial"/>
          <w:b/>
          <w:sz w:val="24"/>
        </w:rPr>
        <w:t>Élaboration des plans d’urgence conjoints avec les autorités locales et renforcer les capacités d’intervention.</w:t>
      </w:r>
    </w:p>
    <w:p w:rsidR="00F55542" w:rsidRDefault="00F55542" w:rsidP="008F4C17">
      <w:pPr>
        <w:pStyle w:val="ListParagraph"/>
        <w:tabs>
          <w:tab w:val="clear" w:pos="851"/>
          <w:tab w:val="left" w:pos="709"/>
        </w:tabs>
      </w:pPr>
      <w:r w:rsidRPr="00F55542">
        <w:rPr>
          <w:b/>
        </w:rPr>
        <w:t>RECOMMANDATION</w:t>
      </w:r>
      <w:r w:rsidRPr="00F55542">
        <w:t xml:space="preserve"> : Tout</w:t>
      </w:r>
      <w:r w:rsidR="00C20D7C">
        <w:t>e</w:t>
      </w:r>
      <w:r w:rsidRPr="00F55542">
        <w:t xml:space="preserve"> entité, soumise à l’application du RUE, selon les disposi</w:t>
      </w:r>
      <w:r w:rsidR="00C20D7C">
        <w:t>ti</w:t>
      </w:r>
      <w:r w:rsidRPr="00F55542">
        <w:t>ons prévue</w:t>
      </w:r>
      <w:r w:rsidR="00C20D7C">
        <w:t>s</w:t>
      </w:r>
      <w:r w:rsidRPr="00F55542">
        <w:t xml:space="preserve"> par le règlement, doit</w:t>
      </w:r>
      <w:r w:rsidR="003A1DD6" w:rsidRPr="00F55542">
        <w:tab/>
      </w:r>
      <w:r w:rsidRPr="00F55542">
        <w:t xml:space="preserve">élaborer un plan de mesures d’urgence qui rencontre des exigences précises;  </w:t>
      </w:r>
    </w:p>
    <w:p w:rsidR="00F55542" w:rsidRPr="00F55542" w:rsidRDefault="00F55542" w:rsidP="008F4C17">
      <w:pPr>
        <w:pStyle w:val="ListParagraph"/>
        <w:numPr>
          <w:ilvl w:val="0"/>
          <w:numId w:val="23"/>
        </w:numPr>
        <w:tabs>
          <w:tab w:val="clear" w:pos="851"/>
          <w:tab w:val="left" w:pos="709"/>
        </w:tabs>
        <w:ind w:left="360"/>
      </w:pPr>
      <w:r w:rsidRPr="00F55542">
        <w:t xml:space="preserve">Ce plan doit être partagé et coordonné avec les services d’urgence  locaux pour assurer une réponse efficace en cas d’urgence.  Il doit être basé sur des scénarios d’accident qui découlent d’analyses des risques effectuées selon les règles de l’art et qui tiennent compte des conséquences sur les personnes, l’environnement, les biens publics et les infrastructures essentielles.  Les zones de planification des mesures d’urgence sont définies selon les conséquences modélisées des scénarios mentionnés plus haut et selon les seuils d’effet mentionnés dans les documents émis par le CRAIM ou l’équivalent (p. ex. Les valeurs de référence des seuils d’effets pour déterminer des zones de planification des mesures d’urgence et d’aménagement du territoire, CRAIM, 2013, et du Manuel d’urgence : présentation des valeurs seuils utilisées dans les situations d’urgence pour une exposition aux produits chimiques toxiques ou corrosifs dans l’air, Direction régionale de santé publique de la Capitale-Nationale).  </w:t>
      </w:r>
    </w:p>
    <w:p w:rsidR="00F55542" w:rsidRPr="00F55542" w:rsidRDefault="00F55542" w:rsidP="00F55542">
      <w:pPr>
        <w:pStyle w:val="ListParagraph"/>
        <w:numPr>
          <w:ilvl w:val="0"/>
          <w:numId w:val="23"/>
        </w:numPr>
        <w:tabs>
          <w:tab w:val="clear" w:pos="851"/>
          <w:tab w:val="left" w:pos="709"/>
        </w:tabs>
      </w:pPr>
      <w:r w:rsidRPr="00F55542">
        <w:t>Des mises à l’essai annuelles de ce plan d’urgence doivent être effectuées, en partenariat avec les services publics d’urgence locaux. Les résultats des mises à l’essai et les recommandations qui en découlent doivent être consignés et un suivi régulier de l’application des correctifs doit être fait.  Les exercices devraient être de complexité variée selon un programme échelonné sur 5 ans.</w:t>
      </w:r>
    </w:p>
    <w:p w:rsidR="00F55542" w:rsidRPr="00F55542" w:rsidRDefault="00F55542" w:rsidP="00F55542">
      <w:pPr>
        <w:pStyle w:val="ListParagraph"/>
        <w:numPr>
          <w:ilvl w:val="0"/>
          <w:numId w:val="23"/>
        </w:numPr>
        <w:tabs>
          <w:tab w:val="clear" w:pos="851"/>
          <w:tab w:val="left" w:pos="709"/>
        </w:tabs>
      </w:pPr>
      <w:r w:rsidRPr="00F55542">
        <w:t>Les organisations impliquées</w:t>
      </w:r>
      <w:r w:rsidR="00C410F2">
        <w:t>, notamment une implication accrue d’Environnement Canada,</w:t>
      </w:r>
      <w:r w:rsidRPr="00F55542">
        <w:t xml:space="preserve"> doivent s’assurer d’être conjointement en mesure d’intervenir efficacement lors d’accidents impliquant des matières dangereuses partout où elles sont susceptibles de se retrouver et d’être émises dans l’environnement, i.e. près des sites industriels ou d’entreposage et des corridors de transport.</w:t>
      </w:r>
    </w:p>
    <w:p w:rsidR="00DF7666" w:rsidRDefault="00DF7666" w:rsidP="0033760A">
      <w:pPr>
        <w:tabs>
          <w:tab w:val="left" w:pos="709"/>
        </w:tabs>
        <w:rPr>
          <w:rFonts w:ascii="Arial" w:hAnsi="Arial" w:cs="Arial"/>
          <w:b/>
          <w:sz w:val="24"/>
        </w:rPr>
      </w:pPr>
    </w:p>
    <w:p w:rsidR="00F55542" w:rsidRPr="0033760A" w:rsidRDefault="0033760A" w:rsidP="0033760A">
      <w:pPr>
        <w:tabs>
          <w:tab w:val="left" w:pos="709"/>
        </w:tabs>
        <w:rPr>
          <w:rFonts w:ascii="Arial" w:hAnsi="Arial" w:cs="Arial"/>
          <w:b/>
          <w:sz w:val="24"/>
        </w:rPr>
      </w:pPr>
      <w:r>
        <w:rPr>
          <w:rFonts w:ascii="Arial" w:hAnsi="Arial" w:cs="Arial"/>
          <w:b/>
          <w:sz w:val="24"/>
        </w:rPr>
        <w:t xml:space="preserve">4. </w:t>
      </w:r>
      <w:r w:rsidR="003A1DD6" w:rsidRPr="0033760A">
        <w:rPr>
          <w:rFonts w:ascii="Arial" w:hAnsi="Arial" w:cs="Arial"/>
          <w:b/>
          <w:sz w:val="24"/>
        </w:rPr>
        <w:t>Renforcer l’imputabilité des organisations et de leurs dirigeants.</w:t>
      </w:r>
    </w:p>
    <w:p w:rsidR="00F55542" w:rsidRDefault="00F55542" w:rsidP="008F4C17">
      <w:pPr>
        <w:pStyle w:val="ListParagraph"/>
        <w:tabs>
          <w:tab w:val="left" w:pos="709"/>
        </w:tabs>
      </w:pPr>
      <w:r w:rsidRPr="00CD347C">
        <w:rPr>
          <w:b/>
        </w:rPr>
        <w:t>RECOMMANDATION</w:t>
      </w:r>
      <w:r>
        <w:t> : Le gouvernement fédéral doit renforcer l’application des dispositions  pénales et criminelles visant à tenir responsables les organisations et leurs dirigeants vis-à-vis les conséquences découlant d’un accident impliquant des matières dangereuses.  Il est donc recommandé que :</w:t>
      </w:r>
    </w:p>
    <w:p w:rsidR="00F55542" w:rsidRDefault="00F55542" w:rsidP="008F4C17">
      <w:pPr>
        <w:pStyle w:val="ListParagraph"/>
        <w:numPr>
          <w:ilvl w:val="0"/>
          <w:numId w:val="23"/>
        </w:numPr>
        <w:tabs>
          <w:tab w:val="clear" w:pos="851"/>
          <w:tab w:val="left" w:pos="709"/>
        </w:tabs>
        <w:ind w:left="371"/>
      </w:pPr>
      <w:r>
        <w:t>Suite à un accident impliquant des matières dangereuses et ayant eu des conséquences significatives sur les personnes, les biens publics et/ou l’environnement, on devra systématiquement faire enquête sur l’exercice de diligence raisonnable, la gestion des activités et le respect des règles établies par les organisations impliquées et leurs dirigeants, incluant le fournisseur du produit (déclaration de la dangerosité), le fabricant et le concepteur des installations (vice de conception) et de l’employeur (non-conformité des procédures de travail sécuritaires), etc.;</w:t>
      </w:r>
    </w:p>
    <w:p w:rsidR="00F55542" w:rsidRDefault="00F55542" w:rsidP="008F4C17">
      <w:pPr>
        <w:pStyle w:val="ListParagraph"/>
        <w:numPr>
          <w:ilvl w:val="0"/>
          <w:numId w:val="23"/>
        </w:numPr>
        <w:tabs>
          <w:tab w:val="clear" w:pos="851"/>
          <w:tab w:val="left" w:pos="709"/>
        </w:tabs>
        <w:ind w:left="371"/>
      </w:pPr>
      <w:r>
        <w:t>Les dispositions pénales et criminelles actuellement prévues dans les lois et règlements fédéraux et provinciaux doivent être renforcées pour dissuader les comportements déviants;</w:t>
      </w:r>
    </w:p>
    <w:p w:rsidR="003A1DD6" w:rsidRDefault="00F55542" w:rsidP="008F4C17">
      <w:pPr>
        <w:pStyle w:val="ListParagraph"/>
        <w:numPr>
          <w:ilvl w:val="0"/>
          <w:numId w:val="23"/>
        </w:numPr>
        <w:tabs>
          <w:tab w:val="clear" w:pos="851"/>
          <w:tab w:val="left" w:pos="709"/>
        </w:tabs>
        <w:ind w:left="371"/>
      </w:pPr>
      <w:r>
        <w:t>Advenant, que les capacités d’intervention soient jugées insuffisantes par les autorités (voir recommandation #4), il sera alors possible de pallier à cette lacune en contribuant au financement de la capacité de réponse en cas d’urgence des intervenants locaux en prélevant par exemple une contribution sur chaque tonne de matière dangereuse produite, transformée ou circulant au pays.  Un tel régime existe déjà pour l’intervention en milieu marin  par exemple.</w:t>
      </w:r>
      <w:r w:rsidR="003A1DD6" w:rsidRPr="009870ED">
        <w:tab/>
      </w:r>
    </w:p>
    <w:p w:rsidR="001D092B" w:rsidRPr="001D092B" w:rsidRDefault="001D092B" w:rsidP="001D092B">
      <w:pPr>
        <w:tabs>
          <w:tab w:val="left" w:pos="709"/>
        </w:tabs>
        <w:rPr>
          <w:rFonts w:ascii="Arial" w:hAnsi="Arial" w:cs="Arial"/>
          <w:sz w:val="24"/>
        </w:rPr>
      </w:pPr>
    </w:p>
    <w:p w:rsidR="001D092B" w:rsidRPr="0033760A" w:rsidRDefault="001D092B" w:rsidP="001D092B">
      <w:pPr>
        <w:tabs>
          <w:tab w:val="left" w:pos="709"/>
        </w:tabs>
        <w:rPr>
          <w:rFonts w:ascii="Arial" w:hAnsi="Arial" w:cs="Arial"/>
          <w:b/>
          <w:sz w:val="24"/>
        </w:rPr>
      </w:pPr>
      <w:r w:rsidRPr="0033760A">
        <w:rPr>
          <w:rFonts w:ascii="Arial" w:hAnsi="Arial" w:cs="Arial"/>
          <w:b/>
          <w:sz w:val="24"/>
        </w:rPr>
        <w:t>Conclusion</w:t>
      </w:r>
    </w:p>
    <w:p w:rsidR="001D092B" w:rsidRPr="001D092B" w:rsidRDefault="001D092B" w:rsidP="008F4C17">
      <w:pPr>
        <w:tabs>
          <w:tab w:val="left" w:pos="709"/>
        </w:tabs>
        <w:jc w:val="both"/>
        <w:rPr>
          <w:rFonts w:ascii="Arial" w:hAnsi="Arial" w:cs="Arial"/>
          <w:sz w:val="24"/>
        </w:rPr>
      </w:pPr>
      <w:r>
        <w:rPr>
          <w:rFonts w:ascii="Arial" w:hAnsi="Arial" w:cs="Arial"/>
          <w:sz w:val="24"/>
        </w:rPr>
        <w:t xml:space="preserve">Le CRAIM est disponible pour une rencontre afin de discuter de </w:t>
      </w:r>
      <w:r w:rsidR="008F4C17">
        <w:rPr>
          <w:rFonts w:ascii="Arial" w:hAnsi="Arial" w:cs="Arial"/>
          <w:sz w:val="24"/>
        </w:rPr>
        <w:t xml:space="preserve">ses </w:t>
      </w:r>
      <w:r>
        <w:rPr>
          <w:rFonts w:ascii="Arial" w:hAnsi="Arial" w:cs="Arial"/>
          <w:sz w:val="24"/>
        </w:rPr>
        <w:t xml:space="preserve">recommandations et fournir plus de détails </w:t>
      </w:r>
      <w:r w:rsidR="0033760A">
        <w:rPr>
          <w:rFonts w:ascii="Arial" w:hAnsi="Arial" w:cs="Arial"/>
          <w:sz w:val="24"/>
        </w:rPr>
        <w:t xml:space="preserve">ou d’explications </w:t>
      </w:r>
      <w:r>
        <w:rPr>
          <w:rFonts w:ascii="Arial" w:hAnsi="Arial" w:cs="Arial"/>
          <w:sz w:val="24"/>
        </w:rPr>
        <w:t>sur ses choix.</w:t>
      </w:r>
    </w:p>
    <w:p w:rsidR="001D092B" w:rsidRPr="001D092B" w:rsidRDefault="001D092B">
      <w:pPr>
        <w:tabs>
          <w:tab w:val="left" w:pos="709"/>
        </w:tabs>
        <w:rPr>
          <w:rFonts w:ascii="Arial" w:hAnsi="Arial" w:cs="Arial"/>
          <w:sz w:val="24"/>
        </w:rPr>
      </w:pPr>
    </w:p>
    <w:sectPr w:rsidR="001D092B" w:rsidRPr="001D092B" w:rsidSect="007A688F">
      <w:headerReference w:type="default" r:id="rId15"/>
      <w:footerReference w:type="default" r:id="rId16"/>
      <w:pgSz w:w="12240" w:h="15840"/>
      <w:pgMar w:top="1387" w:right="1800" w:bottom="1440" w:left="180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DBF" w:rsidRDefault="006B3DBF" w:rsidP="00B8648B">
      <w:pPr>
        <w:spacing w:after="0" w:line="240" w:lineRule="auto"/>
      </w:pPr>
      <w:r>
        <w:separator/>
      </w:r>
    </w:p>
  </w:endnote>
  <w:endnote w:type="continuationSeparator" w:id="0">
    <w:p w:rsidR="006B3DBF" w:rsidRDefault="006B3DBF" w:rsidP="00B8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F1" w:rsidRDefault="00C304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8D" w:rsidRDefault="008F4B8D" w:rsidP="007A688F">
    <w:pPr>
      <w:pStyle w:val="Footer"/>
      <w:pBdr>
        <w:top w:val="single" w:sz="4" w:space="1" w:color="auto"/>
      </w:pBdr>
      <w:jc w:val="center"/>
    </w:pPr>
    <w:r>
      <w:t>827, Boulevard Crémazie Est, bureau 350, Montréal (Québec)</w:t>
    </w:r>
    <w:proofErr w:type="gramStart"/>
    <w:r>
      <w:t>,H2M</w:t>
    </w:r>
    <w:proofErr w:type="gramEnd"/>
    <w:r>
      <w:t xml:space="preserve"> 2T8</w:t>
    </w:r>
  </w:p>
  <w:p w:rsidR="008F4B8D" w:rsidRDefault="008F4B8D" w:rsidP="007A688F">
    <w:pPr>
      <w:pStyle w:val="Footer"/>
      <w:pBdr>
        <w:top w:val="single" w:sz="4" w:space="1" w:color="auto"/>
      </w:pBdr>
      <w:jc w:val="center"/>
    </w:pPr>
    <w:r>
      <w:t xml:space="preserve">(450) 665-1525, </w:t>
    </w:r>
    <w:hyperlink r:id="rId1" w:history="1">
      <w:r w:rsidRPr="00C62B55">
        <w:rPr>
          <w:rStyle w:val="Hyperlink"/>
        </w:rPr>
        <w:t>www.craim.ca</w:t>
      </w:r>
    </w:hyperlink>
    <w:r>
      <w:t>, ginette.joly@craim.ca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F1" w:rsidRDefault="00C304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8D" w:rsidRPr="007A688F" w:rsidRDefault="00365B78" w:rsidP="007A688F">
    <w:pPr>
      <w:pStyle w:val="Footer"/>
      <w:jc w:val="center"/>
      <w:rPr>
        <w:b/>
      </w:rPr>
    </w:pPr>
    <w:r w:rsidRPr="007A688F">
      <w:rPr>
        <w:b/>
      </w:rPr>
      <w:fldChar w:fldCharType="begin"/>
    </w:r>
    <w:r w:rsidR="008F4B8D" w:rsidRPr="007A688F">
      <w:rPr>
        <w:b/>
      </w:rPr>
      <w:instrText xml:space="preserve"> PAGE   \* MERGEFORMAT </w:instrText>
    </w:r>
    <w:r w:rsidRPr="007A688F">
      <w:rPr>
        <w:b/>
      </w:rPr>
      <w:fldChar w:fldCharType="separate"/>
    </w:r>
    <w:r w:rsidR="00CB33F9">
      <w:rPr>
        <w:b/>
        <w:noProof/>
      </w:rPr>
      <w:t>2</w:t>
    </w:r>
    <w:r w:rsidRPr="007A688F">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DBF" w:rsidRDefault="006B3DBF" w:rsidP="00B8648B">
      <w:pPr>
        <w:spacing w:after="0" w:line="240" w:lineRule="auto"/>
      </w:pPr>
      <w:r>
        <w:separator/>
      </w:r>
    </w:p>
  </w:footnote>
  <w:footnote w:type="continuationSeparator" w:id="0">
    <w:p w:rsidR="006B3DBF" w:rsidRDefault="006B3DBF" w:rsidP="00B8648B">
      <w:pPr>
        <w:spacing w:after="0" w:line="240" w:lineRule="auto"/>
      </w:pPr>
      <w:r>
        <w:continuationSeparator/>
      </w:r>
    </w:p>
  </w:footnote>
  <w:footnote w:id="1">
    <w:p w:rsidR="008F4C17" w:rsidRDefault="008F4C17">
      <w:pPr>
        <w:pStyle w:val="FootnoteText"/>
      </w:pPr>
      <w:r>
        <w:rPr>
          <w:rStyle w:val="FootnoteReference"/>
        </w:rPr>
        <w:footnoteRef/>
      </w:r>
      <w:r>
        <w:t xml:space="preserve"> Les versions anglaises et françaises du document sont disponibl</w:t>
      </w:r>
      <w:bookmarkStart w:id="0" w:name="_GoBack"/>
      <w:bookmarkEnd w:id="0"/>
      <w:r>
        <w:t xml:space="preserve">es sur demande par courriel à </w:t>
      </w:r>
      <w:hyperlink r:id="rId1" w:history="1">
        <w:r w:rsidRPr="006B3587">
          <w:rPr>
            <w:rStyle w:val="Hyperlink"/>
          </w:rPr>
          <w:t>secretariat@ascq.org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8D" w:rsidRDefault="008F4B8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8D" w:rsidRPr="00B8648B" w:rsidRDefault="00481963" w:rsidP="007A688F">
    <w:pPr>
      <w:pStyle w:val="Header"/>
      <w:ind w:hanging="426"/>
      <w:jc w:val="center"/>
    </w:pPr>
    <w:r>
      <w:rPr>
        <w:noProof/>
      </w:rPr>
      <w:drawing>
        <wp:inline distT="0" distB="0" distL="0" distR="0">
          <wp:extent cx="3725545" cy="1786255"/>
          <wp:effectExtent l="19050" t="0" r="8255" b="0"/>
          <wp:docPr id="1" name="Picture 1" descr="CRAIM_201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IM_2013F"/>
                  <pic:cNvPicPr>
                    <a:picLocks noChangeAspect="1" noChangeArrowheads="1"/>
                  </pic:cNvPicPr>
                </pic:nvPicPr>
                <pic:blipFill>
                  <a:blip r:embed="rId1"/>
                  <a:srcRect/>
                  <a:stretch>
                    <a:fillRect/>
                  </a:stretch>
                </pic:blipFill>
                <pic:spPr bwMode="auto">
                  <a:xfrm>
                    <a:off x="0" y="0"/>
                    <a:ext cx="3725545" cy="178625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F1" w:rsidRDefault="00C304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8D" w:rsidRPr="007A688F" w:rsidRDefault="008F4B8D" w:rsidP="007A688F">
    <w:pPr>
      <w:pStyle w:val="Header"/>
      <w:pBdr>
        <w:bottom w:val="single" w:sz="4" w:space="1" w:color="auto"/>
      </w:pBdr>
      <w:ind w:hanging="426"/>
      <w:jc w:val="center"/>
      <w:rPr>
        <w:sz w:val="24"/>
        <w:szCs w:val="24"/>
      </w:rPr>
    </w:pPr>
    <w:r>
      <w:rPr>
        <w:noProof/>
        <w:sz w:val="24"/>
        <w:szCs w:val="24"/>
      </w:rPr>
      <w:t>Conseil pour la réduction des accidents industriels majeurs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111"/>
    <w:multiLevelType w:val="hybridMultilevel"/>
    <w:tmpl w:val="132834B8"/>
    <w:lvl w:ilvl="0" w:tplc="10090005">
      <w:start w:val="1"/>
      <w:numFmt w:val="bullet"/>
      <w:lvlText w:val=""/>
      <w:lvlJc w:val="left"/>
      <w:pPr>
        <w:ind w:left="1211" w:hanging="360"/>
      </w:pPr>
      <w:rPr>
        <w:rFonts w:ascii="Wingdings" w:hAnsi="Wingdings"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1">
    <w:nsid w:val="0C426122"/>
    <w:multiLevelType w:val="hybridMultilevel"/>
    <w:tmpl w:val="3BC8C116"/>
    <w:lvl w:ilvl="0" w:tplc="10090017">
      <w:start w:val="1"/>
      <w:numFmt w:val="lowerLetter"/>
      <w:lvlText w:val="%1)"/>
      <w:lvlJc w:val="left"/>
      <w:pPr>
        <w:ind w:left="1211" w:hanging="360"/>
      </w:pPr>
      <w:rPr>
        <w:rFonts w:hint="default"/>
      </w:rPr>
    </w:lvl>
    <w:lvl w:ilvl="1" w:tplc="C8CE0EAE">
      <w:start w:val="1"/>
      <w:numFmt w:val="lowerLetter"/>
      <w:lvlText w:val="%2."/>
      <w:lvlJc w:val="left"/>
      <w:pPr>
        <w:ind w:left="1931" w:hanging="360"/>
      </w:pPr>
    </w:lvl>
    <w:lvl w:ilvl="2" w:tplc="0C0C001B">
      <w:start w:val="1"/>
      <w:numFmt w:val="lowerRoman"/>
      <w:lvlText w:val="%3."/>
      <w:lvlJc w:val="right"/>
      <w:pPr>
        <w:ind w:left="2651" w:hanging="180"/>
      </w:pPr>
    </w:lvl>
    <w:lvl w:ilvl="3" w:tplc="0C0C000F">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2">
    <w:nsid w:val="101524D4"/>
    <w:multiLevelType w:val="hybridMultilevel"/>
    <w:tmpl w:val="6632E602"/>
    <w:lvl w:ilvl="0" w:tplc="10090011">
      <w:start w:val="1"/>
      <w:numFmt w:val="decimal"/>
      <w:lvlText w:val="%1)"/>
      <w:lvlJc w:val="left"/>
      <w:pPr>
        <w:ind w:left="360" w:hanging="360"/>
      </w:pPr>
    </w:lvl>
    <w:lvl w:ilvl="1" w:tplc="C8CE0EAE">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nsid w:val="1AA14DAC"/>
    <w:multiLevelType w:val="hybridMultilevel"/>
    <w:tmpl w:val="1BB8DC50"/>
    <w:lvl w:ilvl="0" w:tplc="0C0C000F">
      <w:start w:val="1"/>
      <w:numFmt w:val="decimal"/>
      <w:lvlText w:val="%1."/>
      <w:lvlJc w:val="left"/>
      <w:pPr>
        <w:ind w:left="1854" w:hanging="360"/>
      </w:pPr>
    </w:lvl>
    <w:lvl w:ilvl="1" w:tplc="0C0C0019">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4">
    <w:nsid w:val="1DDC2549"/>
    <w:multiLevelType w:val="hybridMultilevel"/>
    <w:tmpl w:val="125E0820"/>
    <w:lvl w:ilvl="0" w:tplc="0C0C000F">
      <w:start w:val="1"/>
      <w:numFmt w:val="decimal"/>
      <w:lvlText w:val="%1."/>
      <w:lvlJc w:val="left"/>
      <w:pPr>
        <w:ind w:left="1854" w:hanging="360"/>
      </w:pPr>
    </w:lvl>
    <w:lvl w:ilvl="1" w:tplc="0C0C0019">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5">
    <w:nsid w:val="21B26AA6"/>
    <w:multiLevelType w:val="hybridMultilevel"/>
    <w:tmpl w:val="8256A39C"/>
    <w:lvl w:ilvl="0" w:tplc="2FDA39C6">
      <w:start w:val="1"/>
      <w:numFmt w:val="bullet"/>
      <w:lvlText w:val="–"/>
      <w:lvlJc w:val="left"/>
      <w:pPr>
        <w:tabs>
          <w:tab w:val="num" w:pos="720"/>
        </w:tabs>
        <w:ind w:left="720" w:hanging="360"/>
      </w:pPr>
      <w:rPr>
        <w:rFonts w:ascii="Times New Roman" w:hAnsi="Times New Roman" w:hint="default"/>
      </w:rPr>
    </w:lvl>
    <w:lvl w:ilvl="1" w:tplc="B6148DE6">
      <w:start w:val="1"/>
      <w:numFmt w:val="bullet"/>
      <w:lvlText w:val="–"/>
      <w:lvlJc w:val="left"/>
      <w:pPr>
        <w:tabs>
          <w:tab w:val="num" w:pos="1440"/>
        </w:tabs>
        <w:ind w:left="1440" w:hanging="360"/>
      </w:pPr>
      <w:rPr>
        <w:rFonts w:ascii="Times New Roman" w:hAnsi="Times New Roman" w:hint="default"/>
      </w:rPr>
    </w:lvl>
    <w:lvl w:ilvl="2" w:tplc="552E3C9C">
      <w:start w:val="1161"/>
      <w:numFmt w:val="bullet"/>
      <w:lvlText w:val=""/>
      <w:lvlJc w:val="left"/>
      <w:pPr>
        <w:tabs>
          <w:tab w:val="num" w:pos="2160"/>
        </w:tabs>
        <w:ind w:left="2160" w:hanging="360"/>
      </w:pPr>
      <w:rPr>
        <w:rFonts w:ascii="Times New Roman" w:hAnsi="Times New Roman" w:hint="default"/>
      </w:rPr>
    </w:lvl>
    <w:lvl w:ilvl="3" w:tplc="89169190" w:tentative="1">
      <w:start w:val="1"/>
      <w:numFmt w:val="bullet"/>
      <w:lvlText w:val="–"/>
      <w:lvlJc w:val="left"/>
      <w:pPr>
        <w:tabs>
          <w:tab w:val="num" w:pos="2880"/>
        </w:tabs>
        <w:ind w:left="2880" w:hanging="360"/>
      </w:pPr>
      <w:rPr>
        <w:rFonts w:ascii="Times New Roman" w:hAnsi="Times New Roman" w:hint="default"/>
      </w:rPr>
    </w:lvl>
    <w:lvl w:ilvl="4" w:tplc="E3501382" w:tentative="1">
      <w:start w:val="1"/>
      <w:numFmt w:val="bullet"/>
      <w:lvlText w:val="–"/>
      <w:lvlJc w:val="left"/>
      <w:pPr>
        <w:tabs>
          <w:tab w:val="num" w:pos="3600"/>
        </w:tabs>
        <w:ind w:left="3600" w:hanging="360"/>
      </w:pPr>
      <w:rPr>
        <w:rFonts w:ascii="Times New Roman" w:hAnsi="Times New Roman" w:hint="default"/>
      </w:rPr>
    </w:lvl>
    <w:lvl w:ilvl="5" w:tplc="E6B43C6A" w:tentative="1">
      <w:start w:val="1"/>
      <w:numFmt w:val="bullet"/>
      <w:lvlText w:val="–"/>
      <w:lvlJc w:val="left"/>
      <w:pPr>
        <w:tabs>
          <w:tab w:val="num" w:pos="4320"/>
        </w:tabs>
        <w:ind w:left="4320" w:hanging="360"/>
      </w:pPr>
      <w:rPr>
        <w:rFonts w:ascii="Times New Roman" w:hAnsi="Times New Roman" w:hint="default"/>
      </w:rPr>
    </w:lvl>
    <w:lvl w:ilvl="6" w:tplc="108AEC40" w:tentative="1">
      <w:start w:val="1"/>
      <w:numFmt w:val="bullet"/>
      <w:lvlText w:val="–"/>
      <w:lvlJc w:val="left"/>
      <w:pPr>
        <w:tabs>
          <w:tab w:val="num" w:pos="5040"/>
        </w:tabs>
        <w:ind w:left="5040" w:hanging="360"/>
      </w:pPr>
      <w:rPr>
        <w:rFonts w:ascii="Times New Roman" w:hAnsi="Times New Roman" w:hint="default"/>
      </w:rPr>
    </w:lvl>
    <w:lvl w:ilvl="7" w:tplc="02A4B378" w:tentative="1">
      <w:start w:val="1"/>
      <w:numFmt w:val="bullet"/>
      <w:lvlText w:val="–"/>
      <w:lvlJc w:val="left"/>
      <w:pPr>
        <w:tabs>
          <w:tab w:val="num" w:pos="5760"/>
        </w:tabs>
        <w:ind w:left="5760" w:hanging="360"/>
      </w:pPr>
      <w:rPr>
        <w:rFonts w:ascii="Times New Roman" w:hAnsi="Times New Roman" w:hint="default"/>
      </w:rPr>
    </w:lvl>
    <w:lvl w:ilvl="8" w:tplc="6F384B42" w:tentative="1">
      <w:start w:val="1"/>
      <w:numFmt w:val="bullet"/>
      <w:lvlText w:val="–"/>
      <w:lvlJc w:val="left"/>
      <w:pPr>
        <w:tabs>
          <w:tab w:val="num" w:pos="6480"/>
        </w:tabs>
        <w:ind w:left="6480" w:hanging="360"/>
      </w:pPr>
      <w:rPr>
        <w:rFonts w:ascii="Times New Roman" w:hAnsi="Times New Roman" w:hint="default"/>
      </w:rPr>
    </w:lvl>
  </w:abstractNum>
  <w:abstractNum w:abstractNumId="6">
    <w:nsid w:val="236628E8"/>
    <w:multiLevelType w:val="hybridMultilevel"/>
    <w:tmpl w:val="9B3822A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3144443B"/>
    <w:multiLevelType w:val="hybridMultilevel"/>
    <w:tmpl w:val="DCA6861C"/>
    <w:lvl w:ilvl="0" w:tplc="10090017">
      <w:start w:val="1"/>
      <w:numFmt w:val="lowerLetter"/>
      <w:lvlText w:val="%1)"/>
      <w:lvlJc w:val="left"/>
      <w:pPr>
        <w:ind w:left="1211" w:hanging="360"/>
      </w:pPr>
    </w:lvl>
    <w:lvl w:ilvl="1" w:tplc="C8CE0EAE">
      <w:start w:val="1"/>
      <w:numFmt w:val="lowerLetter"/>
      <w:lvlText w:val="%2."/>
      <w:lvlJc w:val="left"/>
      <w:pPr>
        <w:ind w:left="1931" w:hanging="360"/>
      </w:pPr>
    </w:lvl>
    <w:lvl w:ilvl="2" w:tplc="0C0C001B">
      <w:start w:val="1"/>
      <w:numFmt w:val="lowerRoman"/>
      <w:lvlText w:val="%3."/>
      <w:lvlJc w:val="right"/>
      <w:pPr>
        <w:ind w:left="2651" w:hanging="180"/>
      </w:pPr>
    </w:lvl>
    <w:lvl w:ilvl="3" w:tplc="0C0C000F">
      <w:start w:val="1"/>
      <w:numFmt w:val="decimal"/>
      <w:lvlText w:val="%4."/>
      <w:lvlJc w:val="left"/>
      <w:pPr>
        <w:ind w:left="3371" w:hanging="360"/>
      </w:pPr>
    </w:lvl>
    <w:lvl w:ilvl="4" w:tplc="5BE84A00">
      <w:start w:val="4"/>
      <w:numFmt w:val="bullet"/>
      <w:lvlText w:val="•"/>
      <w:lvlJc w:val="left"/>
      <w:pPr>
        <w:ind w:left="4421" w:hanging="690"/>
      </w:pPr>
      <w:rPr>
        <w:rFonts w:ascii="Arial" w:eastAsia="Calibri" w:hAnsi="Arial" w:cs="Arial" w:hint="default"/>
      </w:r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8">
    <w:nsid w:val="476A00C5"/>
    <w:multiLevelType w:val="hybridMultilevel"/>
    <w:tmpl w:val="DE90F964"/>
    <w:lvl w:ilvl="0" w:tplc="0C0C000F">
      <w:start w:val="1"/>
      <w:numFmt w:val="decimal"/>
      <w:lvlText w:val="%1."/>
      <w:lvlJc w:val="left"/>
      <w:pPr>
        <w:ind w:left="1080" w:hanging="360"/>
      </w:pPr>
    </w:lvl>
    <w:lvl w:ilvl="1" w:tplc="0C0C0019">
      <w:start w:val="1"/>
      <w:numFmt w:val="lowerLetter"/>
      <w:lvlText w:val="%2."/>
      <w:lvlJc w:val="left"/>
      <w:pPr>
        <w:ind w:left="1800" w:hanging="360"/>
      </w:pPr>
    </w:lvl>
    <w:lvl w:ilvl="2" w:tplc="0C0C001B">
      <w:start w:val="1"/>
      <w:numFmt w:val="lowerRoman"/>
      <w:lvlText w:val="%3."/>
      <w:lvlJc w:val="right"/>
      <w:pPr>
        <w:ind w:left="2520" w:hanging="180"/>
      </w:pPr>
    </w:lvl>
    <w:lvl w:ilvl="3" w:tplc="0C0C000F">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nsid w:val="47B23A78"/>
    <w:multiLevelType w:val="hybridMultilevel"/>
    <w:tmpl w:val="AD2627DC"/>
    <w:lvl w:ilvl="0" w:tplc="9F840318">
      <w:start w:val="1"/>
      <w:numFmt w:val="bullet"/>
      <w:lvlText w:val="–"/>
      <w:lvlJc w:val="left"/>
      <w:pPr>
        <w:tabs>
          <w:tab w:val="num" w:pos="720"/>
        </w:tabs>
        <w:ind w:left="720" w:hanging="360"/>
      </w:pPr>
      <w:rPr>
        <w:rFonts w:ascii="Times New Roman" w:hAnsi="Times New Roman" w:hint="default"/>
      </w:rPr>
    </w:lvl>
    <w:lvl w:ilvl="1" w:tplc="ED381BA0">
      <w:start w:val="1"/>
      <w:numFmt w:val="bullet"/>
      <w:lvlText w:val="–"/>
      <w:lvlJc w:val="left"/>
      <w:pPr>
        <w:tabs>
          <w:tab w:val="num" w:pos="1440"/>
        </w:tabs>
        <w:ind w:left="1440" w:hanging="360"/>
      </w:pPr>
      <w:rPr>
        <w:rFonts w:ascii="Times New Roman" w:hAnsi="Times New Roman" w:hint="default"/>
      </w:rPr>
    </w:lvl>
    <w:lvl w:ilvl="2" w:tplc="08F29EC6">
      <w:start w:val="1123"/>
      <w:numFmt w:val="bullet"/>
      <w:lvlText w:val=""/>
      <w:lvlJc w:val="left"/>
      <w:pPr>
        <w:tabs>
          <w:tab w:val="num" w:pos="2160"/>
        </w:tabs>
        <w:ind w:left="2160" w:hanging="360"/>
      </w:pPr>
      <w:rPr>
        <w:rFonts w:ascii="Times New Roman" w:hAnsi="Times New Roman" w:hint="default"/>
      </w:rPr>
    </w:lvl>
    <w:lvl w:ilvl="3" w:tplc="89D67B76" w:tentative="1">
      <w:start w:val="1"/>
      <w:numFmt w:val="bullet"/>
      <w:lvlText w:val="–"/>
      <w:lvlJc w:val="left"/>
      <w:pPr>
        <w:tabs>
          <w:tab w:val="num" w:pos="2880"/>
        </w:tabs>
        <w:ind w:left="2880" w:hanging="360"/>
      </w:pPr>
      <w:rPr>
        <w:rFonts w:ascii="Times New Roman" w:hAnsi="Times New Roman" w:hint="default"/>
      </w:rPr>
    </w:lvl>
    <w:lvl w:ilvl="4" w:tplc="BF6066E4" w:tentative="1">
      <w:start w:val="1"/>
      <w:numFmt w:val="bullet"/>
      <w:lvlText w:val="–"/>
      <w:lvlJc w:val="left"/>
      <w:pPr>
        <w:tabs>
          <w:tab w:val="num" w:pos="3600"/>
        </w:tabs>
        <w:ind w:left="3600" w:hanging="360"/>
      </w:pPr>
      <w:rPr>
        <w:rFonts w:ascii="Times New Roman" w:hAnsi="Times New Roman" w:hint="default"/>
      </w:rPr>
    </w:lvl>
    <w:lvl w:ilvl="5" w:tplc="AE6E2678" w:tentative="1">
      <w:start w:val="1"/>
      <w:numFmt w:val="bullet"/>
      <w:lvlText w:val="–"/>
      <w:lvlJc w:val="left"/>
      <w:pPr>
        <w:tabs>
          <w:tab w:val="num" w:pos="4320"/>
        </w:tabs>
        <w:ind w:left="4320" w:hanging="360"/>
      </w:pPr>
      <w:rPr>
        <w:rFonts w:ascii="Times New Roman" w:hAnsi="Times New Roman" w:hint="default"/>
      </w:rPr>
    </w:lvl>
    <w:lvl w:ilvl="6" w:tplc="182CA794" w:tentative="1">
      <w:start w:val="1"/>
      <w:numFmt w:val="bullet"/>
      <w:lvlText w:val="–"/>
      <w:lvlJc w:val="left"/>
      <w:pPr>
        <w:tabs>
          <w:tab w:val="num" w:pos="5040"/>
        </w:tabs>
        <w:ind w:left="5040" w:hanging="360"/>
      </w:pPr>
      <w:rPr>
        <w:rFonts w:ascii="Times New Roman" w:hAnsi="Times New Roman" w:hint="default"/>
      </w:rPr>
    </w:lvl>
    <w:lvl w:ilvl="7" w:tplc="60A63440" w:tentative="1">
      <w:start w:val="1"/>
      <w:numFmt w:val="bullet"/>
      <w:lvlText w:val="–"/>
      <w:lvlJc w:val="left"/>
      <w:pPr>
        <w:tabs>
          <w:tab w:val="num" w:pos="5760"/>
        </w:tabs>
        <w:ind w:left="5760" w:hanging="360"/>
      </w:pPr>
      <w:rPr>
        <w:rFonts w:ascii="Times New Roman" w:hAnsi="Times New Roman" w:hint="default"/>
      </w:rPr>
    </w:lvl>
    <w:lvl w:ilvl="8" w:tplc="FE44FBB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88A2744"/>
    <w:multiLevelType w:val="hybridMultilevel"/>
    <w:tmpl w:val="081C9230"/>
    <w:lvl w:ilvl="0" w:tplc="1009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nsid w:val="4F0B2054"/>
    <w:multiLevelType w:val="hybridMultilevel"/>
    <w:tmpl w:val="03120EB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nsid w:val="53005D42"/>
    <w:multiLevelType w:val="hybridMultilevel"/>
    <w:tmpl w:val="F2D0CEC0"/>
    <w:lvl w:ilvl="0" w:tplc="39F8357A">
      <w:start w:val="1"/>
      <w:numFmt w:val="bullet"/>
      <w:lvlText w:val="•"/>
      <w:lvlJc w:val="left"/>
      <w:pPr>
        <w:tabs>
          <w:tab w:val="num" w:pos="720"/>
        </w:tabs>
        <w:ind w:left="720" w:hanging="360"/>
      </w:pPr>
      <w:rPr>
        <w:rFonts w:ascii="Arial" w:hAnsi="Arial" w:hint="default"/>
      </w:rPr>
    </w:lvl>
    <w:lvl w:ilvl="1" w:tplc="0FC077EA" w:tentative="1">
      <w:start w:val="1"/>
      <w:numFmt w:val="bullet"/>
      <w:lvlText w:val="•"/>
      <w:lvlJc w:val="left"/>
      <w:pPr>
        <w:tabs>
          <w:tab w:val="num" w:pos="1440"/>
        </w:tabs>
        <w:ind w:left="1440" w:hanging="360"/>
      </w:pPr>
      <w:rPr>
        <w:rFonts w:ascii="Arial" w:hAnsi="Arial" w:hint="default"/>
      </w:rPr>
    </w:lvl>
    <w:lvl w:ilvl="2" w:tplc="CCE89502" w:tentative="1">
      <w:start w:val="1"/>
      <w:numFmt w:val="bullet"/>
      <w:lvlText w:val="•"/>
      <w:lvlJc w:val="left"/>
      <w:pPr>
        <w:tabs>
          <w:tab w:val="num" w:pos="2160"/>
        </w:tabs>
        <w:ind w:left="2160" w:hanging="360"/>
      </w:pPr>
      <w:rPr>
        <w:rFonts w:ascii="Arial" w:hAnsi="Arial" w:hint="default"/>
      </w:rPr>
    </w:lvl>
    <w:lvl w:ilvl="3" w:tplc="F7121196" w:tentative="1">
      <w:start w:val="1"/>
      <w:numFmt w:val="bullet"/>
      <w:lvlText w:val="•"/>
      <w:lvlJc w:val="left"/>
      <w:pPr>
        <w:tabs>
          <w:tab w:val="num" w:pos="2880"/>
        </w:tabs>
        <w:ind w:left="2880" w:hanging="360"/>
      </w:pPr>
      <w:rPr>
        <w:rFonts w:ascii="Arial" w:hAnsi="Arial" w:hint="default"/>
      </w:rPr>
    </w:lvl>
    <w:lvl w:ilvl="4" w:tplc="FD00869A" w:tentative="1">
      <w:start w:val="1"/>
      <w:numFmt w:val="bullet"/>
      <w:lvlText w:val="•"/>
      <w:lvlJc w:val="left"/>
      <w:pPr>
        <w:tabs>
          <w:tab w:val="num" w:pos="3600"/>
        </w:tabs>
        <w:ind w:left="3600" w:hanging="360"/>
      </w:pPr>
      <w:rPr>
        <w:rFonts w:ascii="Arial" w:hAnsi="Arial" w:hint="default"/>
      </w:rPr>
    </w:lvl>
    <w:lvl w:ilvl="5" w:tplc="5A803FDA" w:tentative="1">
      <w:start w:val="1"/>
      <w:numFmt w:val="bullet"/>
      <w:lvlText w:val="•"/>
      <w:lvlJc w:val="left"/>
      <w:pPr>
        <w:tabs>
          <w:tab w:val="num" w:pos="4320"/>
        </w:tabs>
        <w:ind w:left="4320" w:hanging="360"/>
      </w:pPr>
      <w:rPr>
        <w:rFonts w:ascii="Arial" w:hAnsi="Arial" w:hint="default"/>
      </w:rPr>
    </w:lvl>
    <w:lvl w:ilvl="6" w:tplc="F95E4A78" w:tentative="1">
      <w:start w:val="1"/>
      <w:numFmt w:val="bullet"/>
      <w:lvlText w:val="•"/>
      <w:lvlJc w:val="left"/>
      <w:pPr>
        <w:tabs>
          <w:tab w:val="num" w:pos="5040"/>
        </w:tabs>
        <w:ind w:left="5040" w:hanging="360"/>
      </w:pPr>
      <w:rPr>
        <w:rFonts w:ascii="Arial" w:hAnsi="Arial" w:hint="default"/>
      </w:rPr>
    </w:lvl>
    <w:lvl w:ilvl="7" w:tplc="40F2E722" w:tentative="1">
      <w:start w:val="1"/>
      <w:numFmt w:val="bullet"/>
      <w:lvlText w:val="•"/>
      <w:lvlJc w:val="left"/>
      <w:pPr>
        <w:tabs>
          <w:tab w:val="num" w:pos="5760"/>
        </w:tabs>
        <w:ind w:left="5760" w:hanging="360"/>
      </w:pPr>
      <w:rPr>
        <w:rFonts w:ascii="Arial" w:hAnsi="Arial" w:hint="default"/>
      </w:rPr>
    </w:lvl>
    <w:lvl w:ilvl="8" w:tplc="905EF536" w:tentative="1">
      <w:start w:val="1"/>
      <w:numFmt w:val="bullet"/>
      <w:lvlText w:val="•"/>
      <w:lvlJc w:val="left"/>
      <w:pPr>
        <w:tabs>
          <w:tab w:val="num" w:pos="6480"/>
        </w:tabs>
        <w:ind w:left="6480" w:hanging="360"/>
      </w:pPr>
      <w:rPr>
        <w:rFonts w:ascii="Arial" w:hAnsi="Arial" w:hint="default"/>
      </w:rPr>
    </w:lvl>
  </w:abstractNum>
  <w:abstractNum w:abstractNumId="13">
    <w:nsid w:val="5A0B2BCB"/>
    <w:multiLevelType w:val="hybridMultilevel"/>
    <w:tmpl w:val="7444D0EA"/>
    <w:lvl w:ilvl="0" w:tplc="10090011">
      <w:start w:val="1"/>
      <w:numFmt w:val="decimal"/>
      <w:lvlText w:val="%1)"/>
      <w:lvlJc w:val="left"/>
      <w:pPr>
        <w:ind w:left="360" w:hanging="360"/>
      </w:pPr>
    </w:lvl>
    <w:lvl w:ilvl="1" w:tplc="1009001B">
      <w:start w:val="1"/>
      <w:numFmt w:val="lowerRoman"/>
      <w:lvlText w:val="%2."/>
      <w:lvlJc w:val="righ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nsid w:val="5CB2529A"/>
    <w:multiLevelType w:val="hybridMultilevel"/>
    <w:tmpl w:val="39D873E0"/>
    <w:lvl w:ilvl="0" w:tplc="1009000D">
      <w:start w:val="1"/>
      <w:numFmt w:val="bullet"/>
      <w:lvlText w:val=""/>
      <w:lvlJc w:val="left"/>
      <w:pPr>
        <w:ind w:left="1211" w:hanging="360"/>
      </w:pPr>
      <w:rPr>
        <w:rFonts w:ascii="Wingdings" w:hAnsi="Wingdings"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15">
    <w:nsid w:val="61640434"/>
    <w:multiLevelType w:val="hybridMultilevel"/>
    <w:tmpl w:val="D24645EA"/>
    <w:lvl w:ilvl="0" w:tplc="10090005">
      <w:start w:val="1"/>
      <w:numFmt w:val="bullet"/>
      <w:lvlText w:val=""/>
      <w:lvlJc w:val="left"/>
      <w:pPr>
        <w:ind w:left="1211" w:hanging="360"/>
      </w:pPr>
      <w:rPr>
        <w:rFonts w:ascii="Wingdings" w:hAnsi="Wingdings" w:hint="default"/>
      </w:rPr>
    </w:lvl>
    <w:lvl w:ilvl="1" w:tplc="C8CE0EAE">
      <w:start w:val="1"/>
      <w:numFmt w:val="lowerLetter"/>
      <w:lvlText w:val="%2."/>
      <w:lvlJc w:val="left"/>
      <w:pPr>
        <w:ind w:left="1931" w:hanging="360"/>
      </w:pPr>
    </w:lvl>
    <w:lvl w:ilvl="2" w:tplc="0C0C001B">
      <w:start w:val="1"/>
      <w:numFmt w:val="lowerRoman"/>
      <w:lvlText w:val="%3."/>
      <w:lvlJc w:val="right"/>
      <w:pPr>
        <w:ind w:left="2651" w:hanging="180"/>
      </w:pPr>
    </w:lvl>
    <w:lvl w:ilvl="3" w:tplc="0C0C000F">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16">
    <w:nsid w:val="638F2589"/>
    <w:multiLevelType w:val="hybridMultilevel"/>
    <w:tmpl w:val="461CF9D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67F15CE5"/>
    <w:multiLevelType w:val="hybridMultilevel"/>
    <w:tmpl w:val="1F160E16"/>
    <w:lvl w:ilvl="0" w:tplc="CC44E000">
      <w:start w:val="1"/>
      <w:numFmt w:val="bullet"/>
      <w:lvlText w:val="•"/>
      <w:lvlJc w:val="left"/>
      <w:pPr>
        <w:tabs>
          <w:tab w:val="num" w:pos="720"/>
        </w:tabs>
        <w:ind w:left="720" w:hanging="360"/>
      </w:pPr>
      <w:rPr>
        <w:rFonts w:ascii="Times New Roman" w:hAnsi="Times New Roman" w:hint="default"/>
      </w:rPr>
    </w:lvl>
    <w:lvl w:ilvl="1" w:tplc="181A102C">
      <w:start w:val="1"/>
      <w:numFmt w:val="bullet"/>
      <w:lvlText w:val="•"/>
      <w:lvlJc w:val="left"/>
      <w:pPr>
        <w:tabs>
          <w:tab w:val="num" w:pos="1440"/>
        </w:tabs>
        <w:ind w:left="1440" w:hanging="360"/>
      </w:pPr>
      <w:rPr>
        <w:rFonts w:ascii="Times New Roman" w:hAnsi="Times New Roman" w:hint="default"/>
      </w:rPr>
    </w:lvl>
    <w:lvl w:ilvl="2" w:tplc="DC6A76B0">
      <w:start w:val="1"/>
      <w:numFmt w:val="bullet"/>
      <w:lvlText w:val="•"/>
      <w:lvlJc w:val="left"/>
      <w:pPr>
        <w:tabs>
          <w:tab w:val="num" w:pos="2160"/>
        </w:tabs>
        <w:ind w:left="2160" w:hanging="360"/>
      </w:pPr>
      <w:rPr>
        <w:rFonts w:ascii="Times New Roman" w:hAnsi="Times New Roman" w:hint="default"/>
      </w:rPr>
    </w:lvl>
    <w:lvl w:ilvl="3" w:tplc="A84617EE" w:tentative="1">
      <w:start w:val="1"/>
      <w:numFmt w:val="bullet"/>
      <w:lvlText w:val="•"/>
      <w:lvlJc w:val="left"/>
      <w:pPr>
        <w:tabs>
          <w:tab w:val="num" w:pos="2880"/>
        </w:tabs>
        <w:ind w:left="2880" w:hanging="360"/>
      </w:pPr>
      <w:rPr>
        <w:rFonts w:ascii="Times New Roman" w:hAnsi="Times New Roman" w:hint="default"/>
      </w:rPr>
    </w:lvl>
    <w:lvl w:ilvl="4" w:tplc="775EC44C" w:tentative="1">
      <w:start w:val="1"/>
      <w:numFmt w:val="bullet"/>
      <w:lvlText w:val="•"/>
      <w:lvlJc w:val="left"/>
      <w:pPr>
        <w:tabs>
          <w:tab w:val="num" w:pos="3600"/>
        </w:tabs>
        <w:ind w:left="3600" w:hanging="360"/>
      </w:pPr>
      <w:rPr>
        <w:rFonts w:ascii="Times New Roman" w:hAnsi="Times New Roman" w:hint="default"/>
      </w:rPr>
    </w:lvl>
    <w:lvl w:ilvl="5" w:tplc="539AD4A8" w:tentative="1">
      <w:start w:val="1"/>
      <w:numFmt w:val="bullet"/>
      <w:lvlText w:val="•"/>
      <w:lvlJc w:val="left"/>
      <w:pPr>
        <w:tabs>
          <w:tab w:val="num" w:pos="4320"/>
        </w:tabs>
        <w:ind w:left="4320" w:hanging="360"/>
      </w:pPr>
      <w:rPr>
        <w:rFonts w:ascii="Times New Roman" w:hAnsi="Times New Roman" w:hint="default"/>
      </w:rPr>
    </w:lvl>
    <w:lvl w:ilvl="6" w:tplc="B4F21B2A" w:tentative="1">
      <w:start w:val="1"/>
      <w:numFmt w:val="bullet"/>
      <w:lvlText w:val="•"/>
      <w:lvlJc w:val="left"/>
      <w:pPr>
        <w:tabs>
          <w:tab w:val="num" w:pos="5040"/>
        </w:tabs>
        <w:ind w:left="5040" w:hanging="360"/>
      </w:pPr>
      <w:rPr>
        <w:rFonts w:ascii="Times New Roman" w:hAnsi="Times New Roman" w:hint="default"/>
      </w:rPr>
    </w:lvl>
    <w:lvl w:ilvl="7" w:tplc="8F900658" w:tentative="1">
      <w:start w:val="1"/>
      <w:numFmt w:val="bullet"/>
      <w:lvlText w:val="•"/>
      <w:lvlJc w:val="left"/>
      <w:pPr>
        <w:tabs>
          <w:tab w:val="num" w:pos="5760"/>
        </w:tabs>
        <w:ind w:left="5760" w:hanging="360"/>
      </w:pPr>
      <w:rPr>
        <w:rFonts w:ascii="Times New Roman" w:hAnsi="Times New Roman" w:hint="default"/>
      </w:rPr>
    </w:lvl>
    <w:lvl w:ilvl="8" w:tplc="DAA6CD6A"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2"/>
  </w:num>
  <w:num w:numId="3">
    <w:abstractNumId w:val="12"/>
  </w:num>
  <w:num w:numId="4">
    <w:abstractNumId w:val="11"/>
  </w:num>
  <w:num w:numId="5">
    <w:abstractNumId w:val="2"/>
  </w:num>
  <w:num w:numId="6">
    <w:abstractNumId w:val="2"/>
  </w:num>
  <w:num w:numId="7">
    <w:abstractNumId w:val="2"/>
  </w:num>
  <w:num w:numId="8">
    <w:abstractNumId w:val="2"/>
  </w:num>
  <w:num w:numId="9">
    <w:abstractNumId w:val="2"/>
  </w:num>
  <w:num w:numId="10">
    <w:abstractNumId w:val="7"/>
  </w:num>
  <w:num w:numId="11">
    <w:abstractNumId w:val="13"/>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10"/>
  </w:num>
  <w:num w:numId="24">
    <w:abstractNumId w:val="2"/>
  </w:num>
  <w:num w:numId="25">
    <w:abstractNumId w:val="14"/>
  </w:num>
  <w:num w:numId="26">
    <w:abstractNumId w:val="17"/>
  </w:num>
  <w:num w:numId="27">
    <w:abstractNumId w:val="9"/>
  </w:num>
  <w:num w:numId="28">
    <w:abstractNumId w:val="5"/>
  </w:num>
  <w:num w:numId="29">
    <w:abstractNumId w:val="6"/>
  </w:num>
  <w:num w:numId="30">
    <w:abstractNumId w:val="3"/>
  </w:num>
  <w:num w:numId="31">
    <w:abstractNumId w:val="8"/>
  </w:num>
  <w:num w:numId="32">
    <w:abstractNumId w:val="4"/>
  </w:num>
  <w:num w:numId="33">
    <w:abstractNumId w:val="15"/>
  </w:num>
  <w:num w:numId="34">
    <w:abstractNumId w:val="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revisionView w:comment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9D"/>
    <w:rsid w:val="0001279F"/>
    <w:rsid w:val="00031BBB"/>
    <w:rsid w:val="000A0580"/>
    <w:rsid w:val="000A212E"/>
    <w:rsid w:val="000B6A19"/>
    <w:rsid w:val="00163BC6"/>
    <w:rsid w:val="00180F6E"/>
    <w:rsid w:val="001A6F5C"/>
    <w:rsid w:val="001C366B"/>
    <w:rsid w:val="001D092B"/>
    <w:rsid w:val="001D31DD"/>
    <w:rsid w:val="00242F32"/>
    <w:rsid w:val="002A256C"/>
    <w:rsid w:val="002A31F6"/>
    <w:rsid w:val="0033760A"/>
    <w:rsid w:val="00337BDC"/>
    <w:rsid w:val="00357A7D"/>
    <w:rsid w:val="003640B1"/>
    <w:rsid w:val="00365B78"/>
    <w:rsid w:val="003809F1"/>
    <w:rsid w:val="00384939"/>
    <w:rsid w:val="003A1DD6"/>
    <w:rsid w:val="003D070E"/>
    <w:rsid w:val="003E059D"/>
    <w:rsid w:val="003E6BE6"/>
    <w:rsid w:val="00415462"/>
    <w:rsid w:val="00473833"/>
    <w:rsid w:val="00481963"/>
    <w:rsid w:val="004B3996"/>
    <w:rsid w:val="004B5F3D"/>
    <w:rsid w:val="004F2757"/>
    <w:rsid w:val="004F3362"/>
    <w:rsid w:val="0052148D"/>
    <w:rsid w:val="00522550"/>
    <w:rsid w:val="00536F00"/>
    <w:rsid w:val="005E7213"/>
    <w:rsid w:val="00603858"/>
    <w:rsid w:val="006101D5"/>
    <w:rsid w:val="00614D60"/>
    <w:rsid w:val="00616600"/>
    <w:rsid w:val="00634D65"/>
    <w:rsid w:val="00667FCF"/>
    <w:rsid w:val="00673CCD"/>
    <w:rsid w:val="006A0E2D"/>
    <w:rsid w:val="006B3DBF"/>
    <w:rsid w:val="006F3CB7"/>
    <w:rsid w:val="00725226"/>
    <w:rsid w:val="0073383E"/>
    <w:rsid w:val="00733BD2"/>
    <w:rsid w:val="00736692"/>
    <w:rsid w:val="00737F1F"/>
    <w:rsid w:val="00760F8B"/>
    <w:rsid w:val="00787590"/>
    <w:rsid w:val="00796EA5"/>
    <w:rsid w:val="007A5FD9"/>
    <w:rsid w:val="007A688F"/>
    <w:rsid w:val="00802B4D"/>
    <w:rsid w:val="00815B78"/>
    <w:rsid w:val="00821495"/>
    <w:rsid w:val="00824088"/>
    <w:rsid w:val="00841EBD"/>
    <w:rsid w:val="00864C1E"/>
    <w:rsid w:val="0087282B"/>
    <w:rsid w:val="00890D9B"/>
    <w:rsid w:val="00894B15"/>
    <w:rsid w:val="008B5850"/>
    <w:rsid w:val="008D496F"/>
    <w:rsid w:val="008D7FC0"/>
    <w:rsid w:val="008F4B8D"/>
    <w:rsid w:val="008F4C17"/>
    <w:rsid w:val="00917E9D"/>
    <w:rsid w:val="00927C0D"/>
    <w:rsid w:val="00953D4D"/>
    <w:rsid w:val="009612E9"/>
    <w:rsid w:val="009870ED"/>
    <w:rsid w:val="009A4D07"/>
    <w:rsid w:val="009B4B7D"/>
    <w:rsid w:val="009C2EA5"/>
    <w:rsid w:val="009F7EA6"/>
    <w:rsid w:val="00A05048"/>
    <w:rsid w:val="00A47872"/>
    <w:rsid w:val="00A63692"/>
    <w:rsid w:val="00A757B0"/>
    <w:rsid w:val="00AE4D10"/>
    <w:rsid w:val="00AE789B"/>
    <w:rsid w:val="00B12655"/>
    <w:rsid w:val="00B26794"/>
    <w:rsid w:val="00B468FD"/>
    <w:rsid w:val="00B8648B"/>
    <w:rsid w:val="00BD4271"/>
    <w:rsid w:val="00BE7FBD"/>
    <w:rsid w:val="00C20D7C"/>
    <w:rsid w:val="00C304F1"/>
    <w:rsid w:val="00C410F2"/>
    <w:rsid w:val="00CA37B3"/>
    <w:rsid w:val="00CB33F9"/>
    <w:rsid w:val="00CD347C"/>
    <w:rsid w:val="00CE60F0"/>
    <w:rsid w:val="00CE7315"/>
    <w:rsid w:val="00D222E1"/>
    <w:rsid w:val="00D24FCF"/>
    <w:rsid w:val="00D41A45"/>
    <w:rsid w:val="00D64386"/>
    <w:rsid w:val="00DE3A8B"/>
    <w:rsid w:val="00DF7666"/>
    <w:rsid w:val="00E163B4"/>
    <w:rsid w:val="00E257F6"/>
    <w:rsid w:val="00E260CC"/>
    <w:rsid w:val="00E90376"/>
    <w:rsid w:val="00EA0EC5"/>
    <w:rsid w:val="00EB6ED9"/>
    <w:rsid w:val="00EF2581"/>
    <w:rsid w:val="00F108AE"/>
    <w:rsid w:val="00F2473A"/>
    <w:rsid w:val="00F55542"/>
    <w:rsid w:val="00F76FBE"/>
    <w:rsid w:val="00F801AA"/>
    <w:rsid w:val="00FB79A0"/>
    <w:rsid w:val="00FC77AC"/>
    <w:rsid w:val="00FF65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386"/>
    <w:pPr>
      <w:tabs>
        <w:tab w:val="left" w:pos="851"/>
      </w:tabs>
      <w:spacing w:after="120"/>
      <w:jc w:val="both"/>
    </w:pPr>
    <w:rPr>
      <w:rFonts w:ascii="Arial" w:hAnsi="Arial" w:cs="Arial"/>
      <w:sz w:val="24"/>
    </w:rPr>
  </w:style>
  <w:style w:type="paragraph" w:styleId="Header">
    <w:name w:val="header"/>
    <w:basedOn w:val="Normal"/>
    <w:link w:val="HeaderChar"/>
    <w:uiPriority w:val="99"/>
    <w:unhideWhenUsed/>
    <w:rsid w:val="00B864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648B"/>
  </w:style>
  <w:style w:type="paragraph" w:styleId="Footer">
    <w:name w:val="footer"/>
    <w:basedOn w:val="Normal"/>
    <w:link w:val="FooterChar"/>
    <w:uiPriority w:val="99"/>
    <w:unhideWhenUsed/>
    <w:rsid w:val="00B864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648B"/>
  </w:style>
  <w:style w:type="paragraph" w:styleId="BodyText">
    <w:name w:val="Body Text"/>
    <w:basedOn w:val="Normal"/>
    <w:link w:val="BodyTextChar"/>
    <w:uiPriority w:val="99"/>
    <w:rsid w:val="00B8648B"/>
    <w:pPr>
      <w:spacing w:after="120" w:line="240" w:lineRule="auto"/>
    </w:pPr>
    <w:rPr>
      <w:rFonts w:ascii="Arial" w:hAnsi="Arial"/>
      <w:b/>
      <w:sz w:val="24"/>
      <w:szCs w:val="20"/>
      <w:lang w:eastAsia="ja-JP"/>
    </w:rPr>
  </w:style>
  <w:style w:type="character" w:customStyle="1" w:styleId="BodyTextChar">
    <w:name w:val="Body Text Char"/>
    <w:link w:val="BodyText"/>
    <w:uiPriority w:val="99"/>
    <w:rsid w:val="00B8648B"/>
    <w:rPr>
      <w:rFonts w:ascii="Arial" w:eastAsia="Times New Roman" w:hAnsi="Arial" w:cs="Times New Roman"/>
      <w:b/>
      <w:sz w:val="24"/>
      <w:szCs w:val="20"/>
      <w:lang w:eastAsia="ja-JP"/>
    </w:rPr>
  </w:style>
  <w:style w:type="paragraph" w:styleId="BalloonText">
    <w:name w:val="Balloon Text"/>
    <w:basedOn w:val="Normal"/>
    <w:link w:val="BalloonTextChar"/>
    <w:uiPriority w:val="99"/>
    <w:semiHidden/>
    <w:unhideWhenUsed/>
    <w:rsid w:val="00796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6EA5"/>
    <w:rPr>
      <w:rFonts w:ascii="Tahoma" w:hAnsi="Tahoma" w:cs="Tahoma"/>
      <w:sz w:val="16"/>
      <w:szCs w:val="16"/>
    </w:rPr>
  </w:style>
  <w:style w:type="character" w:styleId="Hyperlink">
    <w:name w:val="Hyperlink"/>
    <w:uiPriority w:val="99"/>
    <w:unhideWhenUsed/>
    <w:rsid w:val="007A688F"/>
    <w:rPr>
      <w:color w:val="0000FF"/>
      <w:u w:val="single"/>
    </w:rPr>
  </w:style>
  <w:style w:type="paragraph" w:styleId="Caption">
    <w:name w:val="caption"/>
    <w:basedOn w:val="Normal"/>
    <w:next w:val="Normal"/>
    <w:uiPriority w:val="35"/>
    <w:unhideWhenUsed/>
    <w:qFormat/>
    <w:rsid w:val="00E260CC"/>
    <w:pPr>
      <w:spacing w:line="240" w:lineRule="auto"/>
    </w:pPr>
    <w:rPr>
      <w:b/>
      <w:bCs/>
      <w:color w:val="4F81BD"/>
      <w:sz w:val="18"/>
      <w:szCs w:val="18"/>
    </w:rPr>
  </w:style>
  <w:style w:type="character" w:styleId="CommentReference">
    <w:name w:val="annotation reference"/>
    <w:uiPriority w:val="99"/>
    <w:semiHidden/>
    <w:unhideWhenUsed/>
    <w:rsid w:val="00FF6559"/>
    <w:rPr>
      <w:sz w:val="16"/>
      <w:szCs w:val="16"/>
    </w:rPr>
  </w:style>
  <w:style w:type="paragraph" w:styleId="CommentText">
    <w:name w:val="annotation text"/>
    <w:basedOn w:val="Normal"/>
    <w:link w:val="CommentTextChar"/>
    <w:uiPriority w:val="99"/>
    <w:semiHidden/>
    <w:unhideWhenUsed/>
    <w:rsid w:val="00FF6559"/>
    <w:pPr>
      <w:spacing w:line="240" w:lineRule="auto"/>
    </w:pPr>
    <w:rPr>
      <w:sz w:val="20"/>
      <w:szCs w:val="20"/>
    </w:rPr>
  </w:style>
  <w:style w:type="character" w:customStyle="1" w:styleId="CommentTextChar">
    <w:name w:val="Comment Text Char"/>
    <w:link w:val="CommentText"/>
    <w:uiPriority w:val="99"/>
    <w:semiHidden/>
    <w:rsid w:val="00FF6559"/>
    <w:rPr>
      <w:sz w:val="20"/>
      <w:szCs w:val="20"/>
    </w:rPr>
  </w:style>
  <w:style w:type="paragraph" w:styleId="CommentSubject">
    <w:name w:val="annotation subject"/>
    <w:basedOn w:val="CommentText"/>
    <w:next w:val="CommentText"/>
    <w:link w:val="CommentSubjectChar"/>
    <w:uiPriority w:val="99"/>
    <w:semiHidden/>
    <w:unhideWhenUsed/>
    <w:rsid w:val="00FF6559"/>
    <w:rPr>
      <w:b/>
      <w:bCs/>
    </w:rPr>
  </w:style>
  <w:style w:type="character" w:customStyle="1" w:styleId="CommentSubjectChar">
    <w:name w:val="Comment Subject Char"/>
    <w:link w:val="CommentSubject"/>
    <w:uiPriority w:val="99"/>
    <w:semiHidden/>
    <w:rsid w:val="00FF6559"/>
    <w:rPr>
      <w:b/>
      <w:bCs/>
      <w:sz w:val="20"/>
      <w:szCs w:val="20"/>
    </w:rPr>
  </w:style>
  <w:style w:type="paragraph" w:customStyle="1" w:styleId="Default">
    <w:name w:val="Default"/>
    <w:rsid w:val="009B4B7D"/>
    <w:pPr>
      <w:autoSpaceDE w:val="0"/>
      <w:autoSpaceDN w:val="0"/>
      <w:adjustRightInd w:val="0"/>
    </w:pPr>
    <w:rPr>
      <w:rFonts w:ascii="Myriad Pro" w:hAnsi="Myriad Pro" w:cs="Myriad Pro"/>
      <w:color w:val="000000"/>
      <w:sz w:val="24"/>
      <w:szCs w:val="24"/>
    </w:rPr>
  </w:style>
  <w:style w:type="paragraph" w:styleId="Revision">
    <w:name w:val="Revision"/>
    <w:hidden/>
    <w:uiPriority w:val="99"/>
    <w:semiHidden/>
    <w:rsid w:val="00B26794"/>
    <w:rPr>
      <w:sz w:val="22"/>
      <w:szCs w:val="22"/>
    </w:rPr>
  </w:style>
  <w:style w:type="paragraph" w:styleId="FootnoteText">
    <w:name w:val="footnote text"/>
    <w:basedOn w:val="Normal"/>
    <w:link w:val="FootnoteTextChar"/>
    <w:uiPriority w:val="99"/>
    <w:semiHidden/>
    <w:unhideWhenUsed/>
    <w:rsid w:val="008F4C17"/>
    <w:rPr>
      <w:sz w:val="20"/>
      <w:szCs w:val="20"/>
    </w:rPr>
  </w:style>
  <w:style w:type="character" w:customStyle="1" w:styleId="FootnoteTextChar">
    <w:name w:val="Footnote Text Char"/>
    <w:basedOn w:val="DefaultParagraphFont"/>
    <w:link w:val="FootnoteText"/>
    <w:uiPriority w:val="99"/>
    <w:semiHidden/>
    <w:rsid w:val="008F4C17"/>
  </w:style>
  <w:style w:type="character" w:styleId="FootnoteReference">
    <w:name w:val="footnote reference"/>
    <w:uiPriority w:val="99"/>
    <w:semiHidden/>
    <w:unhideWhenUsed/>
    <w:rsid w:val="008F4C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386"/>
    <w:pPr>
      <w:tabs>
        <w:tab w:val="left" w:pos="851"/>
      </w:tabs>
      <w:spacing w:after="120"/>
      <w:jc w:val="both"/>
    </w:pPr>
    <w:rPr>
      <w:rFonts w:ascii="Arial" w:hAnsi="Arial" w:cs="Arial"/>
      <w:sz w:val="24"/>
    </w:rPr>
  </w:style>
  <w:style w:type="paragraph" w:styleId="Header">
    <w:name w:val="header"/>
    <w:basedOn w:val="Normal"/>
    <w:link w:val="HeaderChar"/>
    <w:uiPriority w:val="99"/>
    <w:unhideWhenUsed/>
    <w:rsid w:val="00B864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648B"/>
  </w:style>
  <w:style w:type="paragraph" w:styleId="Footer">
    <w:name w:val="footer"/>
    <w:basedOn w:val="Normal"/>
    <w:link w:val="FooterChar"/>
    <w:uiPriority w:val="99"/>
    <w:unhideWhenUsed/>
    <w:rsid w:val="00B864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648B"/>
  </w:style>
  <w:style w:type="paragraph" w:styleId="BodyText">
    <w:name w:val="Body Text"/>
    <w:basedOn w:val="Normal"/>
    <w:link w:val="BodyTextChar"/>
    <w:uiPriority w:val="99"/>
    <w:rsid w:val="00B8648B"/>
    <w:pPr>
      <w:spacing w:after="120" w:line="240" w:lineRule="auto"/>
    </w:pPr>
    <w:rPr>
      <w:rFonts w:ascii="Arial" w:hAnsi="Arial"/>
      <w:b/>
      <w:sz w:val="24"/>
      <w:szCs w:val="20"/>
      <w:lang w:eastAsia="ja-JP"/>
    </w:rPr>
  </w:style>
  <w:style w:type="character" w:customStyle="1" w:styleId="BodyTextChar">
    <w:name w:val="Body Text Char"/>
    <w:link w:val="BodyText"/>
    <w:uiPriority w:val="99"/>
    <w:rsid w:val="00B8648B"/>
    <w:rPr>
      <w:rFonts w:ascii="Arial" w:eastAsia="Times New Roman" w:hAnsi="Arial" w:cs="Times New Roman"/>
      <w:b/>
      <w:sz w:val="24"/>
      <w:szCs w:val="20"/>
      <w:lang w:eastAsia="ja-JP"/>
    </w:rPr>
  </w:style>
  <w:style w:type="paragraph" w:styleId="BalloonText">
    <w:name w:val="Balloon Text"/>
    <w:basedOn w:val="Normal"/>
    <w:link w:val="BalloonTextChar"/>
    <w:uiPriority w:val="99"/>
    <w:semiHidden/>
    <w:unhideWhenUsed/>
    <w:rsid w:val="00796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6EA5"/>
    <w:rPr>
      <w:rFonts w:ascii="Tahoma" w:hAnsi="Tahoma" w:cs="Tahoma"/>
      <w:sz w:val="16"/>
      <w:szCs w:val="16"/>
    </w:rPr>
  </w:style>
  <w:style w:type="character" w:styleId="Hyperlink">
    <w:name w:val="Hyperlink"/>
    <w:uiPriority w:val="99"/>
    <w:unhideWhenUsed/>
    <w:rsid w:val="007A688F"/>
    <w:rPr>
      <w:color w:val="0000FF"/>
      <w:u w:val="single"/>
    </w:rPr>
  </w:style>
  <w:style w:type="paragraph" w:styleId="Caption">
    <w:name w:val="caption"/>
    <w:basedOn w:val="Normal"/>
    <w:next w:val="Normal"/>
    <w:uiPriority w:val="35"/>
    <w:unhideWhenUsed/>
    <w:qFormat/>
    <w:rsid w:val="00E260CC"/>
    <w:pPr>
      <w:spacing w:line="240" w:lineRule="auto"/>
    </w:pPr>
    <w:rPr>
      <w:b/>
      <w:bCs/>
      <w:color w:val="4F81BD"/>
      <w:sz w:val="18"/>
      <w:szCs w:val="18"/>
    </w:rPr>
  </w:style>
  <w:style w:type="character" w:styleId="CommentReference">
    <w:name w:val="annotation reference"/>
    <w:uiPriority w:val="99"/>
    <w:semiHidden/>
    <w:unhideWhenUsed/>
    <w:rsid w:val="00FF6559"/>
    <w:rPr>
      <w:sz w:val="16"/>
      <w:szCs w:val="16"/>
    </w:rPr>
  </w:style>
  <w:style w:type="paragraph" w:styleId="CommentText">
    <w:name w:val="annotation text"/>
    <w:basedOn w:val="Normal"/>
    <w:link w:val="CommentTextChar"/>
    <w:uiPriority w:val="99"/>
    <w:semiHidden/>
    <w:unhideWhenUsed/>
    <w:rsid w:val="00FF6559"/>
    <w:pPr>
      <w:spacing w:line="240" w:lineRule="auto"/>
    </w:pPr>
    <w:rPr>
      <w:sz w:val="20"/>
      <w:szCs w:val="20"/>
    </w:rPr>
  </w:style>
  <w:style w:type="character" w:customStyle="1" w:styleId="CommentTextChar">
    <w:name w:val="Comment Text Char"/>
    <w:link w:val="CommentText"/>
    <w:uiPriority w:val="99"/>
    <w:semiHidden/>
    <w:rsid w:val="00FF6559"/>
    <w:rPr>
      <w:sz w:val="20"/>
      <w:szCs w:val="20"/>
    </w:rPr>
  </w:style>
  <w:style w:type="paragraph" w:styleId="CommentSubject">
    <w:name w:val="annotation subject"/>
    <w:basedOn w:val="CommentText"/>
    <w:next w:val="CommentText"/>
    <w:link w:val="CommentSubjectChar"/>
    <w:uiPriority w:val="99"/>
    <w:semiHidden/>
    <w:unhideWhenUsed/>
    <w:rsid w:val="00FF6559"/>
    <w:rPr>
      <w:b/>
      <w:bCs/>
    </w:rPr>
  </w:style>
  <w:style w:type="character" w:customStyle="1" w:styleId="CommentSubjectChar">
    <w:name w:val="Comment Subject Char"/>
    <w:link w:val="CommentSubject"/>
    <w:uiPriority w:val="99"/>
    <w:semiHidden/>
    <w:rsid w:val="00FF6559"/>
    <w:rPr>
      <w:b/>
      <w:bCs/>
      <w:sz w:val="20"/>
      <w:szCs w:val="20"/>
    </w:rPr>
  </w:style>
  <w:style w:type="paragraph" w:customStyle="1" w:styleId="Default">
    <w:name w:val="Default"/>
    <w:rsid w:val="009B4B7D"/>
    <w:pPr>
      <w:autoSpaceDE w:val="0"/>
      <w:autoSpaceDN w:val="0"/>
      <w:adjustRightInd w:val="0"/>
    </w:pPr>
    <w:rPr>
      <w:rFonts w:ascii="Myriad Pro" w:hAnsi="Myriad Pro" w:cs="Myriad Pro"/>
      <w:color w:val="000000"/>
      <w:sz w:val="24"/>
      <w:szCs w:val="24"/>
    </w:rPr>
  </w:style>
  <w:style w:type="paragraph" w:styleId="Revision">
    <w:name w:val="Revision"/>
    <w:hidden/>
    <w:uiPriority w:val="99"/>
    <w:semiHidden/>
    <w:rsid w:val="00B26794"/>
    <w:rPr>
      <w:sz w:val="22"/>
      <w:szCs w:val="22"/>
    </w:rPr>
  </w:style>
  <w:style w:type="paragraph" w:styleId="FootnoteText">
    <w:name w:val="footnote text"/>
    <w:basedOn w:val="Normal"/>
    <w:link w:val="FootnoteTextChar"/>
    <w:uiPriority w:val="99"/>
    <w:semiHidden/>
    <w:unhideWhenUsed/>
    <w:rsid w:val="008F4C17"/>
    <w:rPr>
      <w:sz w:val="20"/>
      <w:szCs w:val="20"/>
    </w:rPr>
  </w:style>
  <w:style w:type="character" w:customStyle="1" w:styleId="FootnoteTextChar">
    <w:name w:val="Footnote Text Char"/>
    <w:basedOn w:val="DefaultParagraphFont"/>
    <w:link w:val="FootnoteText"/>
    <w:uiPriority w:val="99"/>
    <w:semiHidden/>
    <w:rsid w:val="008F4C17"/>
  </w:style>
  <w:style w:type="character" w:styleId="FootnoteReference">
    <w:name w:val="footnote reference"/>
    <w:uiPriority w:val="99"/>
    <w:semiHidden/>
    <w:unhideWhenUsed/>
    <w:rsid w:val="008F4C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6077">
      <w:bodyDiv w:val="1"/>
      <w:marLeft w:val="0"/>
      <w:marRight w:val="0"/>
      <w:marTop w:val="0"/>
      <w:marBottom w:val="0"/>
      <w:divBdr>
        <w:top w:val="none" w:sz="0" w:space="0" w:color="auto"/>
        <w:left w:val="none" w:sz="0" w:space="0" w:color="auto"/>
        <w:bottom w:val="none" w:sz="0" w:space="0" w:color="auto"/>
        <w:right w:val="none" w:sz="0" w:space="0" w:color="auto"/>
      </w:divBdr>
      <w:divsChild>
        <w:div w:id="1851486276">
          <w:marLeft w:val="374"/>
          <w:marRight w:val="0"/>
          <w:marTop w:val="134"/>
          <w:marBottom w:val="0"/>
          <w:divBdr>
            <w:top w:val="none" w:sz="0" w:space="0" w:color="auto"/>
            <w:left w:val="none" w:sz="0" w:space="0" w:color="auto"/>
            <w:bottom w:val="none" w:sz="0" w:space="0" w:color="auto"/>
            <w:right w:val="none" w:sz="0" w:space="0" w:color="auto"/>
          </w:divBdr>
        </w:div>
      </w:divsChild>
    </w:div>
    <w:div w:id="254746444">
      <w:bodyDiv w:val="1"/>
      <w:marLeft w:val="0"/>
      <w:marRight w:val="0"/>
      <w:marTop w:val="0"/>
      <w:marBottom w:val="0"/>
      <w:divBdr>
        <w:top w:val="none" w:sz="0" w:space="0" w:color="auto"/>
        <w:left w:val="none" w:sz="0" w:space="0" w:color="auto"/>
        <w:bottom w:val="none" w:sz="0" w:space="0" w:color="auto"/>
        <w:right w:val="none" w:sz="0" w:space="0" w:color="auto"/>
      </w:divBdr>
    </w:div>
    <w:div w:id="492990243">
      <w:bodyDiv w:val="1"/>
      <w:marLeft w:val="0"/>
      <w:marRight w:val="0"/>
      <w:marTop w:val="0"/>
      <w:marBottom w:val="0"/>
      <w:divBdr>
        <w:top w:val="none" w:sz="0" w:space="0" w:color="auto"/>
        <w:left w:val="none" w:sz="0" w:space="0" w:color="auto"/>
        <w:bottom w:val="none" w:sz="0" w:space="0" w:color="auto"/>
        <w:right w:val="none" w:sz="0" w:space="0" w:color="auto"/>
      </w:divBdr>
      <w:divsChild>
        <w:div w:id="559363284">
          <w:marLeft w:val="1094"/>
          <w:marRight w:val="0"/>
          <w:marTop w:val="115"/>
          <w:marBottom w:val="0"/>
          <w:divBdr>
            <w:top w:val="none" w:sz="0" w:space="0" w:color="auto"/>
            <w:left w:val="none" w:sz="0" w:space="0" w:color="auto"/>
            <w:bottom w:val="none" w:sz="0" w:space="0" w:color="auto"/>
            <w:right w:val="none" w:sz="0" w:space="0" w:color="auto"/>
          </w:divBdr>
        </w:div>
        <w:div w:id="858815547">
          <w:marLeft w:val="1800"/>
          <w:marRight w:val="0"/>
          <w:marTop w:val="96"/>
          <w:marBottom w:val="0"/>
          <w:divBdr>
            <w:top w:val="none" w:sz="0" w:space="0" w:color="auto"/>
            <w:left w:val="none" w:sz="0" w:space="0" w:color="auto"/>
            <w:bottom w:val="none" w:sz="0" w:space="0" w:color="auto"/>
            <w:right w:val="none" w:sz="0" w:space="0" w:color="auto"/>
          </w:divBdr>
        </w:div>
        <w:div w:id="1520045475">
          <w:marLeft w:val="1094"/>
          <w:marRight w:val="0"/>
          <w:marTop w:val="115"/>
          <w:marBottom w:val="0"/>
          <w:divBdr>
            <w:top w:val="none" w:sz="0" w:space="0" w:color="auto"/>
            <w:left w:val="none" w:sz="0" w:space="0" w:color="auto"/>
            <w:bottom w:val="none" w:sz="0" w:space="0" w:color="auto"/>
            <w:right w:val="none" w:sz="0" w:space="0" w:color="auto"/>
          </w:divBdr>
        </w:div>
      </w:divsChild>
    </w:div>
    <w:div w:id="804813405">
      <w:bodyDiv w:val="1"/>
      <w:marLeft w:val="0"/>
      <w:marRight w:val="0"/>
      <w:marTop w:val="0"/>
      <w:marBottom w:val="0"/>
      <w:divBdr>
        <w:top w:val="none" w:sz="0" w:space="0" w:color="auto"/>
        <w:left w:val="none" w:sz="0" w:space="0" w:color="auto"/>
        <w:bottom w:val="none" w:sz="0" w:space="0" w:color="auto"/>
        <w:right w:val="none" w:sz="0" w:space="0" w:color="auto"/>
      </w:divBdr>
      <w:divsChild>
        <w:div w:id="359555281">
          <w:marLeft w:val="1094"/>
          <w:marRight w:val="0"/>
          <w:marTop w:val="115"/>
          <w:marBottom w:val="0"/>
          <w:divBdr>
            <w:top w:val="none" w:sz="0" w:space="0" w:color="auto"/>
            <w:left w:val="none" w:sz="0" w:space="0" w:color="auto"/>
            <w:bottom w:val="none" w:sz="0" w:space="0" w:color="auto"/>
            <w:right w:val="none" w:sz="0" w:space="0" w:color="auto"/>
          </w:divBdr>
        </w:div>
        <w:div w:id="930547310">
          <w:marLeft w:val="1800"/>
          <w:marRight w:val="0"/>
          <w:marTop w:val="96"/>
          <w:marBottom w:val="0"/>
          <w:divBdr>
            <w:top w:val="none" w:sz="0" w:space="0" w:color="auto"/>
            <w:left w:val="none" w:sz="0" w:space="0" w:color="auto"/>
            <w:bottom w:val="none" w:sz="0" w:space="0" w:color="auto"/>
            <w:right w:val="none" w:sz="0" w:space="0" w:color="auto"/>
          </w:divBdr>
        </w:div>
        <w:div w:id="1591162131">
          <w:marLeft w:val="1094"/>
          <w:marRight w:val="0"/>
          <w:marTop w:val="115"/>
          <w:marBottom w:val="0"/>
          <w:divBdr>
            <w:top w:val="none" w:sz="0" w:space="0" w:color="auto"/>
            <w:left w:val="none" w:sz="0" w:space="0" w:color="auto"/>
            <w:bottom w:val="none" w:sz="0" w:space="0" w:color="auto"/>
            <w:right w:val="none" w:sz="0" w:space="0" w:color="auto"/>
          </w:divBdr>
        </w:div>
      </w:divsChild>
    </w:div>
    <w:div w:id="1220170539">
      <w:bodyDiv w:val="1"/>
      <w:marLeft w:val="0"/>
      <w:marRight w:val="0"/>
      <w:marTop w:val="0"/>
      <w:marBottom w:val="0"/>
      <w:divBdr>
        <w:top w:val="none" w:sz="0" w:space="0" w:color="auto"/>
        <w:left w:val="none" w:sz="0" w:space="0" w:color="auto"/>
        <w:bottom w:val="none" w:sz="0" w:space="0" w:color="auto"/>
        <w:right w:val="none" w:sz="0" w:space="0" w:color="auto"/>
      </w:divBdr>
      <w:divsChild>
        <w:div w:id="1222868766">
          <w:marLeft w:val="547"/>
          <w:marRight w:val="0"/>
          <w:marTop w:val="240"/>
          <w:marBottom w:val="0"/>
          <w:divBdr>
            <w:top w:val="none" w:sz="0" w:space="0" w:color="auto"/>
            <w:left w:val="none" w:sz="0" w:space="0" w:color="auto"/>
            <w:bottom w:val="none" w:sz="0" w:space="0" w:color="auto"/>
            <w:right w:val="none" w:sz="0" w:space="0" w:color="auto"/>
          </w:divBdr>
        </w:div>
        <w:div w:id="1409383645">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raim.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secretariat@ascq.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7C44C-461E-41BB-A322-AF180BFC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3253</Words>
  <Characters>17893</Characters>
  <Application>Microsoft Office Word</Application>
  <DocSecurity>0</DocSecurity>
  <Lines>149</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21104</CharactersWithSpaces>
  <SharedDoc>false</SharedDoc>
  <HLinks>
    <vt:vector size="12" baseType="variant">
      <vt:variant>
        <vt:i4>3473431</vt:i4>
      </vt:variant>
      <vt:variant>
        <vt:i4>0</vt:i4>
      </vt:variant>
      <vt:variant>
        <vt:i4>0</vt:i4>
      </vt:variant>
      <vt:variant>
        <vt:i4>5</vt:i4>
      </vt:variant>
      <vt:variant>
        <vt:lpwstr>mailto:secretariat@ascq.org</vt:lpwstr>
      </vt:variant>
      <vt:variant>
        <vt:lpwstr/>
      </vt:variant>
      <vt:variant>
        <vt:i4>524292</vt:i4>
      </vt:variant>
      <vt:variant>
        <vt:i4>0</vt:i4>
      </vt:variant>
      <vt:variant>
        <vt:i4>0</vt:i4>
      </vt:variant>
      <vt:variant>
        <vt:i4>5</vt:i4>
      </vt:variant>
      <vt:variant>
        <vt:lpwstr>http://www.craim.ca/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Robertg</dc:creator>
  <cp:lastModifiedBy>Dimitri Tsingakis</cp:lastModifiedBy>
  <cp:revision>3</cp:revision>
  <dcterms:created xsi:type="dcterms:W3CDTF">2014-04-14T14:18:00Z</dcterms:created>
  <dcterms:modified xsi:type="dcterms:W3CDTF">2014-04-14T14:18:00Z</dcterms:modified>
</cp:coreProperties>
</file>